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C5B6C8">
      <w:pPr>
        <w:pStyle w:val="8"/>
        <w:jc w:val="center"/>
        <w:outlineLvl w:val="1"/>
        <w:rPr>
          <w:rFonts w:hint="eastAsia" w:ascii="宋体" w:hAnsi="宋体" w:eastAsia="宋体" w:cs="宋体"/>
          <w:color w:val="auto"/>
          <w:highlight w:val="none"/>
        </w:rPr>
      </w:pPr>
      <w:r>
        <w:rPr>
          <w:rFonts w:hint="eastAsia" w:ascii="宋体" w:hAnsi="宋体" w:eastAsia="宋体" w:cs="宋体"/>
          <w:b/>
          <w:color w:val="auto"/>
          <w:sz w:val="36"/>
          <w:highlight w:val="none"/>
        </w:rPr>
        <w:t>采购需求</w:t>
      </w:r>
    </w:p>
    <w:p w14:paraId="376632E1">
      <w:pPr>
        <w:pStyle w:val="2"/>
        <w:numPr>
          <w:ilvl w:val="0"/>
          <w:numId w:val="1"/>
        </w:numPr>
        <w:bidi w:val="0"/>
        <w:rPr>
          <w:rFonts w:hint="eastAsia" w:ascii="宋体" w:hAnsi="宋体" w:eastAsia="宋体" w:cs="宋体"/>
          <w:color w:val="auto"/>
          <w:highlight w:val="none"/>
        </w:rPr>
      </w:pPr>
      <w:r>
        <w:rPr>
          <w:rFonts w:hint="eastAsia" w:ascii="宋体" w:hAnsi="宋体" w:eastAsia="宋体" w:cs="宋体"/>
          <w:color w:val="auto"/>
          <w:highlight w:val="none"/>
        </w:rPr>
        <w:t>项目概况</w:t>
      </w:r>
    </w:p>
    <w:p w14:paraId="3CC45705">
      <w:pPr>
        <w:numPr>
          <w:ilvl w:val="0"/>
          <w:numId w:val="2"/>
        </w:numPr>
        <w:bidi w:val="0"/>
        <w:spacing w:line="360" w:lineRule="auto"/>
        <w:ind w:left="0" w:leftChars="0" w:firstLine="40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中山市华侨中学初中部运动场跑道、足球场改造项目</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面积约4</w:t>
      </w:r>
      <w:bookmarkStart w:id="0" w:name="_GoBack"/>
      <w:bookmarkEnd w:id="0"/>
      <w:r>
        <w:rPr>
          <w:rFonts w:hint="eastAsia" w:ascii="宋体" w:hAnsi="宋体" w:eastAsia="宋体" w:cs="宋体"/>
          <w:color w:val="auto"/>
          <w:sz w:val="21"/>
          <w:szCs w:val="21"/>
          <w:highlight w:val="none"/>
        </w:rPr>
        <w:t>307平方米。对运动场(跑道区、跳远区)进行橡胶、沥青层凿除。重新铺设沥青层、橡胶面层、跑道排水沟盖板更换、足球场改造、照明灯杆设施移位、预留线管等配套工程。具体施工范围及内容详见施工图及中介预算内容。</w:t>
      </w:r>
    </w:p>
    <w:p w14:paraId="2FBB7E82">
      <w:pPr>
        <w:numPr>
          <w:ilvl w:val="0"/>
          <w:numId w:val="2"/>
        </w:numPr>
        <w:bidi w:val="0"/>
        <w:spacing w:line="360" w:lineRule="auto"/>
        <w:ind w:left="0" w:leftChars="0" w:firstLine="40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场地要求：</w:t>
      </w:r>
      <w:r>
        <w:rPr>
          <w:rFonts w:hint="eastAsia" w:ascii="宋体" w:hAnsi="宋体" w:eastAsia="宋体" w:cs="宋体"/>
          <w:color w:val="auto"/>
          <w:sz w:val="21"/>
          <w:szCs w:val="21"/>
          <w:highlight w:val="none"/>
        </w:rPr>
        <w:t>现有场地为200米跑道，6条跑道</w:t>
      </w:r>
      <w:r>
        <w:rPr>
          <w:rFonts w:hint="eastAsia" w:ascii="宋体" w:hAnsi="宋体" w:eastAsia="宋体" w:cs="宋体"/>
          <w:color w:val="auto"/>
          <w:sz w:val="21"/>
          <w:szCs w:val="21"/>
          <w:highlight w:val="none"/>
          <w:lang w:eastAsia="zh-CN"/>
        </w:rPr>
        <w:t>，使用标准应至少</w:t>
      </w:r>
      <w:r>
        <w:rPr>
          <w:rFonts w:hint="eastAsia" w:ascii="宋体" w:hAnsi="宋体" w:eastAsia="宋体" w:cs="宋体"/>
          <w:color w:val="auto"/>
          <w:sz w:val="21"/>
          <w:szCs w:val="21"/>
          <w:highlight w:val="none"/>
          <w:lang w:val="en-US" w:eastAsia="zh-CN"/>
        </w:rPr>
        <w:t>满足Ⅲ类场地要求</w:t>
      </w:r>
      <w:r>
        <w:rPr>
          <w:rFonts w:hint="eastAsia" w:ascii="宋体" w:hAnsi="宋体" w:eastAsia="宋体" w:cs="宋体"/>
          <w:color w:val="auto"/>
          <w:sz w:val="21"/>
          <w:szCs w:val="21"/>
          <w:highlight w:val="none"/>
          <w:lang w:eastAsia="zh-CN"/>
        </w:rPr>
        <w:t>。</w:t>
      </w:r>
    </w:p>
    <w:p w14:paraId="17D67662">
      <w:pPr>
        <w:numPr>
          <w:ilvl w:val="0"/>
          <w:numId w:val="2"/>
        </w:numPr>
        <w:bidi w:val="0"/>
        <w:spacing w:line="360" w:lineRule="auto"/>
        <w:ind w:left="0" w:leftChars="0" w:firstLine="40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工程质量要求：合格或以上。</w:t>
      </w:r>
    </w:p>
    <w:p w14:paraId="136D25DC">
      <w:pPr>
        <w:numPr>
          <w:ilvl w:val="0"/>
          <w:numId w:val="2"/>
        </w:numPr>
        <w:bidi w:val="0"/>
        <w:spacing w:line="360" w:lineRule="auto"/>
        <w:ind w:left="0" w:leftChars="0" w:firstLine="40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成交供应商不得以任何方式转包或分包本项目。 </w:t>
      </w:r>
    </w:p>
    <w:p w14:paraId="152A6409">
      <w:pPr>
        <w:numPr>
          <w:ilvl w:val="0"/>
          <w:numId w:val="2"/>
        </w:numPr>
        <w:bidi w:val="0"/>
        <w:spacing w:line="360" w:lineRule="auto"/>
        <w:ind w:left="0" w:leftChars="0" w:firstLine="400" w:firstLineChars="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★本项目最高限价为：按中介预算工程造价金额</w:t>
      </w:r>
      <w:r>
        <w:rPr>
          <w:rFonts w:hint="eastAsia" w:ascii="宋体" w:hAnsi="宋体" w:eastAsia="宋体" w:cs="宋体"/>
          <w:color w:val="auto"/>
          <w:sz w:val="21"/>
          <w:szCs w:val="21"/>
          <w:highlight w:val="none"/>
          <w:lang w:val="en-US" w:eastAsia="zh-CN"/>
        </w:rPr>
        <w:t>下浮10%</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供应商的响应报价（每次）不得高于最高限价，安全生产措施项目费不得低于中介预算</w:t>
      </w:r>
      <w:r>
        <w:rPr>
          <w:rFonts w:hint="eastAsia" w:ascii="宋体" w:hAnsi="宋体" w:eastAsia="宋体" w:cs="宋体"/>
          <w:color w:val="auto"/>
          <w:sz w:val="21"/>
          <w:szCs w:val="21"/>
          <w:highlight w:val="none"/>
          <w:lang w:val="en-US" w:eastAsia="zh-CN"/>
        </w:rPr>
        <w:t>中的</w:t>
      </w:r>
      <w:r>
        <w:rPr>
          <w:rFonts w:hint="eastAsia" w:ascii="宋体" w:hAnsi="宋体" w:eastAsia="宋体" w:cs="宋体"/>
          <w:color w:val="auto"/>
          <w:sz w:val="21"/>
          <w:szCs w:val="21"/>
          <w:highlight w:val="none"/>
        </w:rPr>
        <w:t>安全生产措施项目费，否则视为无效报价，按无效响应处理。</w:t>
      </w:r>
    </w:p>
    <w:p w14:paraId="5A774986">
      <w:pPr>
        <w:pStyle w:val="2"/>
        <w:numPr>
          <w:ilvl w:val="0"/>
          <w:numId w:val="1"/>
        </w:numPr>
        <w:bidi w:val="0"/>
        <w:rPr>
          <w:rFonts w:hint="eastAsia" w:ascii="宋体" w:hAnsi="宋体" w:eastAsia="宋体" w:cs="宋体"/>
          <w:b/>
          <w:color w:val="auto"/>
          <w:highlight w:val="none"/>
        </w:rPr>
      </w:pPr>
      <w:r>
        <w:rPr>
          <w:rFonts w:hint="eastAsia" w:ascii="宋体" w:hAnsi="宋体" w:eastAsia="宋体" w:cs="宋体"/>
          <w:b/>
          <w:color w:val="auto"/>
          <w:highlight w:val="none"/>
        </w:rPr>
        <w:t>异常低价审查</w:t>
      </w:r>
    </w:p>
    <w:p w14:paraId="3A0234AF">
      <w:pPr>
        <w:pStyle w:val="8"/>
        <w:spacing w:line="360" w:lineRule="auto"/>
        <w:ind w:firstLine="422"/>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根据《关于推动解决政府采购异常低价问题的通知》（财库〔2026〕2号）进行异常低价审查。政府采购评审中出现下列情形之一的，评审委员会应当启动异常低价投标（响应）审查程序：</w:t>
      </w:r>
    </w:p>
    <w:p w14:paraId="278F118F">
      <w:pPr>
        <w:pStyle w:val="8"/>
        <w:spacing w:line="360" w:lineRule="auto"/>
        <w:ind w:firstLine="422"/>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（1）投标（响应）报价低于全部通过符合性审查供应商投标（响应）报价平均值50%的，即投标（响应）报价＜全部通过符合性审查供应商投标（响应）报价平均值×50%；</w:t>
      </w:r>
    </w:p>
    <w:p w14:paraId="6530EBFA">
      <w:pPr>
        <w:pStyle w:val="8"/>
        <w:spacing w:line="360" w:lineRule="auto"/>
        <w:ind w:firstLine="422"/>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（2）投标（响应）报价低于通过符合性审查的次低报价供应商投标（响应）报价50%的，即投标（响应）报价＜通过符合性审查的次低报价供应商投标（响应）报价×50%；</w:t>
      </w:r>
    </w:p>
    <w:p w14:paraId="25D5F7A8">
      <w:pPr>
        <w:pStyle w:val="8"/>
        <w:spacing w:line="360" w:lineRule="auto"/>
        <w:ind w:firstLine="422"/>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（3）投标（响应）报价低于采购项目最高限价45%的，即投标（响应）报价＜采购项目最高限价×45%；</w:t>
      </w:r>
    </w:p>
    <w:p w14:paraId="3F3161C2">
      <w:pPr>
        <w:pStyle w:val="8"/>
        <w:spacing w:line="360" w:lineRule="auto"/>
        <w:ind w:firstLine="422"/>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（4）评审委员会基于专业判断，认为供应商报价过低，有可能影响产品质量或者不能诚信履约的其他情形。</w:t>
      </w:r>
    </w:p>
    <w:p w14:paraId="15A7A7EB">
      <w:pPr>
        <w:pStyle w:val="8"/>
        <w:spacing w:line="360" w:lineRule="auto"/>
        <w:ind w:firstLine="422"/>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评审委员会启动异常低价投标（响应）审查后，属于前述第1项至第4项情形的，应当要求相关供应商在评审现场合理的时间内对投标（响应）价格作出解释，提供项目具体成本测算等与报价合理性相关的书面说明及必要的证明材料，包括但不限于原材料成本、人工成本、制造费用等，给予相关供应商的合理时间一般不少于30分钟。其中，属于第3项情形，供应商已随投标（响应）文件一并提交相关书面说明及必要的证明材料的，在评审现场可不再重复提交。</w:t>
      </w:r>
    </w:p>
    <w:p w14:paraId="378F1C9F">
      <w:pPr>
        <w:pStyle w:val="8"/>
        <w:spacing w:line="360" w:lineRule="auto"/>
        <w:ind w:firstLine="422"/>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投标（响应）供应商不能提供书面说明、证明材料，或者提供的书面说明、证明材料不能证明其报价合理性的，评审委员会应当将其作为无效投标（响应）处理。</w:t>
      </w:r>
    </w:p>
    <w:p w14:paraId="2A905855">
      <w:pPr>
        <w:pStyle w:val="2"/>
        <w:numPr>
          <w:ilvl w:val="0"/>
          <w:numId w:val="1"/>
        </w:numPr>
        <w:bidi w:val="0"/>
        <w:rPr>
          <w:rFonts w:hint="eastAsia" w:ascii="宋体" w:hAnsi="宋体" w:eastAsia="宋体" w:cs="宋体"/>
          <w:b/>
          <w:color w:val="auto"/>
          <w:highlight w:val="none"/>
        </w:rPr>
      </w:pPr>
      <w:r>
        <w:rPr>
          <w:rFonts w:hint="eastAsia" w:ascii="宋体" w:hAnsi="宋体" w:eastAsia="宋体" w:cs="宋体"/>
          <w:b/>
          <w:color w:val="auto"/>
          <w:highlight w:val="none"/>
        </w:rPr>
        <w:t>施工要求</w:t>
      </w:r>
    </w:p>
    <w:p w14:paraId="41DBADBE">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成交供应商必须根据施工图</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严格按照施工规范的要求进行施工。</w:t>
      </w:r>
    </w:p>
    <w:p w14:paraId="277A96CB">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成交供应商施工前必须核查原运动场情况，如现状情况与设计不符，应及时通报采购人，以便调整设计。</w:t>
      </w:r>
    </w:p>
    <w:p w14:paraId="333BC698">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成交供应商开工前</w:t>
      </w:r>
      <w:r>
        <w:rPr>
          <w:rFonts w:hint="eastAsia" w:ascii="宋体" w:hAnsi="宋体" w:eastAsia="宋体" w:cs="宋体"/>
          <w:color w:val="auto"/>
          <w:sz w:val="21"/>
          <w:szCs w:val="21"/>
          <w:highlight w:val="none"/>
          <w:lang w:val="en-US" w:eastAsia="zh-CN"/>
        </w:rPr>
        <w:t>须</w:t>
      </w:r>
      <w:r>
        <w:rPr>
          <w:rFonts w:hint="eastAsia" w:ascii="宋体" w:hAnsi="宋体" w:eastAsia="宋体" w:cs="宋体"/>
          <w:color w:val="auto"/>
          <w:sz w:val="21"/>
          <w:szCs w:val="21"/>
          <w:highlight w:val="none"/>
        </w:rPr>
        <w:t>签订《施工安全责任书》。</w:t>
      </w:r>
    </w:p>
    <w:p w14:paraId="0338B285">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施工过程严格按照国家、省、市安全文明施工要求施工。施工期内不</w:t>
      </w:r>
      <w:r>
        <w:rPr>
          <w:rFonts w:hint="eastAsia" w:ascii="宋体" w:hAnsi="宋体" w:eastAsia="宋体" w:cs="宋体"/>
          <w:color w:val="auto"/>
          <w:sz w:val="21"/>
          <w:szCs w:val="21"/>
          <w:highlight w:val="none"/>
          <w:lang w:val="en-US" w:eastAsia="zh-CN"/>
        </w:rPr>
        <w:t>得</w:t>
      </w:r>
      <w:r>
        <w:rPr>
          <w:rFonts w:hint="eastAsia" w:ascii="宋体" w:hAnsi="宋体" w:eastAsia="宋体" w:cs="宋体"/>
          <w:color w:val="auto"/>
          <w:sz w:val="21"/>
          <w:szCs w:val="21"/>
          <w:highlight w:val="none"/>
        </w:rPr>
        <w:t>发生重伤和死亡事故。</w:t>
      </w:r>
    </w:p>
    <w:p w14:paraId="528E5BD4">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在政府行政主管部门的检查中, </w:t>
      </w:r>
      <w:r>
        <w:rPr>
          <w:rFonts w:hint="eastAsia" w:ascii="宋体" w:hAnsi="宋体" w:eastAsia="宋体" w:cs="宋体"/>
          <w:color w:val="auto"/>
          <w:sz w:val="21"/>
          <w:szCs w:val="21"/>
          <w:highlight w:val="none"/>
          <w:lang w:val="en-US" w:eastAsia="zh-CN"/>
        </w:rPr>
        <w:t>如</w:t>
      </w:r>
      <w:r>
        <w:rPr>
          <w:rFonts w:hint="eastAsia" w:ascii="宋体" w:hAnsi="宋体" w:eastAsia="宋体" w:cs="宋体"/>
          <w:color w:val="auto"/>
          <w:sz w:val="21"/>
          <w:szCs w:val="21"/>
          <w:highlight w:val="none"/>
        </w:rPr>
        <w:t>成交供应商的施工场地被评为不合格工地的或者被通报批评的</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或者被新闻媒体曝光的</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成交供应商必须承担违约责任</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成交供应商须</w:t>
      </w:r>
      <w:r>
        <w:rPr>
          <w:rFonts w:hint="eastAsia" w:ascii="宋体" w:hAnsi="宋体" w:eastAsia="宋体" w:cs="宋体"/>
          <w:color w:val="auto"/>
          <w:sz w:val="21"/>
          <w:szCs w:val="21"/>
          <w:highlight w:val="none"/>
        </w:rPr>
        <w:t>立即采取切实有效措施予以整改，拒不采取有效措施整改的或整改效果不明显的</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采购人有权解除合同</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并要求成交供应商赔偿由此造成的损失。</w:t>
      </w:r>
    </w:p>
    <w:p w14:paraId="78027A2B">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采购人</w:t>
      </w:r>
      <w:r>
        <w:rPr>
          <w:rFonts w:hint="eastAsia" w:ascii="宋体" w:hAnsi="宋体" w:eastAsia="宋体" w:cs="宋体"/>
          <w:color w:val="auto"/>
          <w:sz w:val="21"/>
          <w:szCs w:val="21"/>
          <w:highlight w:val="none"/>
          <w:lang w:val="en-US" w:eastAsia="zh-CN"/>
        </w:rPr>
        <w:t>和</w:t>
      </w:r>
      <w:r>
        <w:rPr>
          <w:rFonts w:hint="eastAsia" w:ascii="宋体" w:hAnsi="宋体" w:eastAsia="宋体" w:cs="宋体"/>
          <w:color w:val="auto"/>
          <w:sz w:val="21"/>
          <w:szCs w:val="21"/>
          <w:highlight w:val="none"/>
        </w:rPr>
        <w:t>监理</w:t>
      </w:r>
      <w:r>
        <w:rPr>
          <w:rFonts w:hint="eastAsia" w:ascii="宋体" w:hAnsi="宋体" w:eastAsia="宋体" w:cs="宋体"/>
          <w:color w:val="auto"/>
          <w:sz w:val="21"/>
          <w:szCs w:val="21"/>
          <w:highlight w:val="none"/>
          <w:lang w:val="en-US" w:eastAsia="zh-CN"/>
        </w:rPr>
        <w:t>单位</w:t>
      </w:r>
      <w:r>
        <w:rPr>
          <w:rFonts w:hint="eastAsia" w:ascii="宋体" w:hAnsi="宋体" w:eastAsia="宋体" w:cs="宋体"/>
          <w:color w:val="auto"/>
          <w:sz w:val="21"/>
          <w:szCs w:val="21"/>
          <w:highlight w:val="none"/>
        </w:rPr>
        <w:t>按照有关规定对成交供应商</w:t>
      </w:r>
      <w:r>
        <w:rPr>
          <w:rFonts w:hint="eastAsia" w:ascii="宋体" w:hAnsi="宋体" w:eastAsia="宋体" w:cs="宋体"/>
          <w:color w:val="auto"/>
          <w:sz w:val="21"/>
          <w:szCs w:val="21"/>
          <w:highlight w:val="none"/>
          <w:lang w:val="en-US" w:eastAsia="zh-CN"/>
        </w:rPr>
        <w:t>的施工</w:t>
      </w:r>
      <w:r>
        <w:rPr>
          <w:rFonts w:hint="eastAsia" w:ascii="宋体" w:hAnsi="宋体" w:eastAsia="宋体" w:cs="宋体"/>
          <w:color w:val="auto"/>
          <w:sz w:val="21"/>
          <w:szCs w:val="21"/>
          <w:highlight w:val="none"/>
        </w:rPr>
        <w:t>进行检查。成交供应商在施工中如果工程质量不符合施工设计图要求的有关规定，经监理或质监</w:t>
      </w:r>
      <w:r>
        <w:rPr>
          <w:rFonts w:hint="eastAsia" w:ascii="宋体" w:hAnsi="宋体" w:eastAsia="宋体" w:cs="宋体"/>
          <w:color w:val="auto"/>
          <w:sz w:val="21"/>
          <w:szCs w:val="21"/>
          <w:highlight w:val="none"/>
          <w:lang w:val="en-US" w:eastAsia="zh-CN"/>
        </w:rPr>
        <w:t>等</w:t>
      </w:r>
      <w:r>
        <w:rPr>
          <w:rFonts w:hint="eastAsia" w:ascii="宋体" w:hAnsi="宋体" w:eastAsia="宋体" w:cs="宋体"/>
          <w:color w:val="auto"/>
          <w:sz w:val="21"/>
          <w:szCs w:val="21"/>
          <w:highlight w:val="none"/>
        </w:rPr>
        <w:t>部门评定工程质量不合格者，采购人可以要求停工和返工，成交供应商必须立即执行，由此产生的各种费用</w:t>
      </w:r>
      <w:r>
        <w:rPr>
          <w:rFonts w:hint="eastAsia" w:ascii="宋体" w:hAnsi="宋体" w:eastAsia="宋体" w:cs="宋体"/>
          <w:color w:val="auto"/>
          <w:sz w:val="21"/>
          <w:szCs w:val="21"/>
          <w:highlight w:val="none"/>
          <w:lang w:val="en-US" w:eastAsia="zh-CN"/>
        </w:rPr>
        <w:t>由</w:t>
      </w:r>
      <w:r>
        <w:rPr>
          <w:rFonts w:hint="eastAsia" w:ascii="宋体" w:hAnsi="宋体" w:eastAsia="宋体" w:cs="宋体"/>
          <w:color w:val="auto"/>
          <w:sz w:val="21"/>
          <w:szCs w:val="21"/>
          <w:highlight w:val="none"/>
        </w:rPr>
        <w:t xml:space="preserve">成交供应商承担。    </w:t>
      </w:r>
    </w:p>
    <w:p w14:paraId="588ECA8E">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成交供应商必须严格按照已经确认的施工方案组织施工，接受监理单位对工程质量、工期、安全、文明施工、环保及工地纪律的管制。  </w:t>
      </w:r>
    </w:p>
    <w:p w14:paraId="6A0BCD1A">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成交供应商在项目施工期间，须严格遵守当地政府职能部门的各项规章制度，由于管理不善，导致政府职能部门的罚款和停工整改，由</w:t>
      </w:r>
      <w:r>
        <w:rPr>
          <w:rFonts w:hint="eastAsia" w:ascii="宋体" w:hAnsi="宋体" w:eastAsia="宋体" w:cs="宋体"/>
          <w:color w:val="auto"/>
          <w:sz w:val="21"/>
          <w:szCs w:val="21"/>
          <w:highlight w:val="none"/>
          <w:lang w:val="en-US" w:eastAsia="zh-CN"/>
        </w:rPr>
        <w:t>此</w:t>
      </w:r>
      <w:r>
        <w:rPr>
          <w:rFonts w:hint="eastAsia" w:ascii="宋体" w:hAnsi="宋体" w:eastAsia="宋体" w:cs="宋体"/>
          <w:color w:val="auto"/>
          <w:sz w:val="21"/>
          <w:szCs w:val="21"/>
          <w:highlight w:val="none"/>
        </w:rPr>
        <w:t>发生的费用与损失由成交供应商自行承担，且采购人保留暂缓支付工程款的权利，以确保文明施工有效实行。</w:t>
      </w:r>
    </w:p>
    <w:p w14:paraId="60658015">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成交供应商在项目施工期间，必须配备专职安全员，建立健全动火申请批准制度，配置一定数量的消防器材，并报送采购人核准，提交监理单位备案。</w:t>
      </w:r>
    </w:p>
    <w:p w14:paraId="66071945">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成交供应商在施工期间，必须建立施工安全用电制度，确保施工用电设备的完好无损，并设置漏电保护装置。</w:t>
      </w:r>
    </w:p>
    <w:p w14:paraId="33401FA1">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验收合格前的施工现场的所有安全责任由成交供应商负责。</w:t>
      </w:r>
    </w:p>
    <w:p w14:paraId="32D387D5">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临时设施及材料加工由成交供应商自行解决，其费用由成交供应商自理。</w:t>
      </w:r>
    </w:p>
    <w:p w14:paraId="576DC8C7">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如施工过程</w:t>
      </w:r>
      <w:r>
        <w:rPr>
          <w:rFonts w:hint="eastAsia" w:ascii="宋体" w:hAnsi="宋体" w:eastAsia="宋体" w:cs="宋体"/>
          <w:color w:val="auto"/>
          <w:sz w:val="21"/>
          <w:szCs w:val="21"/>
          <w:highlight w:val="none"/>
        </w:rPr>
        <w:t>出现二次运输而产生的费用，</w:t>
      </w:r>
      <w:r>
        <w:rPr>
          <w:rFonts w:hint="eastAsia" w:ascii="宋体" w:hAnsi="宋体" w:eastAsia="宋体" w:cs="宋体"/>
          <w:color w:val="auto"/>
          <w:sz w:val="21"/>
          <w:szCs w:val="21"/>
          <w:highlight w:val="none"/>
          <w:lang w:val="en-US" w:eastAsia="zh-CN"/>
        </w:rPr>
        <w:t>供应商</w:t>
      </w:r>
      <w:r>
        <w:rPr>
          <w:rFonts w:hint="eastAsia" w:ascii="宋体" w:hAnsi="宋体" w:eastAsia="宋体" w:cs="宋体"/>
          <w:color w:val="auto"/>
          <w:sz w:val="21"/>
          <w:szCs w:val="21"/>
          <w:highlight w:val="none"/>
        </w:rPr>
        <w:t>需自行考虑，合同价不予增加。</w:t>
      </w:r>
    </w:p>
    <w:p w14:paraId="3686B37B">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进场施工人员必须严格遵守相关规章制度。进入施工现场人员必须佩戴出入证，并自觉接受检查。</w:t>
      </w:r>
    </w:p>
    <w:p w14:paraId="44888CAF">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成交供应商应确保施工现场的清洁卫生，施工垃圾必须清理干净。</w:t>
      </w:r>
    </w:p>
    <w:p w14:paraId="4096B860">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车辆出入校园，须服从指挥，减速慢行，注意安全。施工人员名册等相关资料（如身份证等）须报采购人备案（必要时须报派出所）并办理出入校园手续。</w:t>
      </w:r>
    </w:p>
    <w:p w14:paraId="19B3B466">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成交供应商应做好噪音污染保障措施工作。</w:t>
      </w:r>
    </w:p>
    <w:p w14:paraId="10AF3D78">
      <w:pPr>
        <w:numPr>
          <w:ilvl w:val="0"/>
          <w:numId w:val="3"/>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highlight w:val="none"/>
        </w:rPr>
        <w:t>人员安全：</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(1)成交供应商须对自身的人员安全负完全责任，采购人不对成交供应商的人员安全负任何责任。</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(2)成交供应商须根据相关规范制定人员安全措施，须为参与本项目的工作人员购买人身意外保险，保险期须涵盖整个项目工期。</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(3)若成交供应商发生安全事故，期间因发生安全整顿而带来的工期延误或无法按期完成的责任由成交供应商负责，因此而造成的损失由成交供应商赔偿。</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(4)成交供应商在作业期间造成人员伤亡事故（包括成交供应商自身人员和其它人员伤亡等）以及财产损害的，由成交供应商负责事故上报、经济赔偿和善后处理。由于事故所造成的损失和善后处理费用均由成交供应商承担（包括但不限于第三方索偿、采取补救措施、律师费等）。</w:t>
      </w:r>
      <w:r>
        <w:rPr>
          <w:rFonts w:hint="eastAsia" w:ascii="宋体" w:hAnsi="宋体" w:eastAsia="宋体" w:cs="宋体"/>
          <w:color w:val="auto"/>
          <w:highlight w:val="none"/>
        </w:rPr>
        <w:br w:type="textWrapping"/>
      </w:r>
    </w:p>
    <w:p w14:paraId="5C77542C">
      <w:pPr>
        <w:pStyle w:val="8"/>
        <w:spacing w:line="360" w:lineRule="auto"/>
        <w:rPr>
          <w:rFonts w:hint="eastAsia" w:ascii="宋体" w:hAnsi="宋体" w:eastAsia="宋体" w:cs="宋体"/>
          <w:b/>
          <w:color w:val="auto"/>
          <w:sz w:val="21"/>
          <w:szCs w:val="21"/>
          <w:highlight w:val="none"/>
        </w:rPr>
      </w:pPr>
    </w:p>
    <w:p w14:paraId="6525EE4E">
      <w:pPr>
        <w:pStyle w:val="8"/>
        <w:numPr>
          <w:ilvl w:val="0"/>
          <w:numId w:val="1"/>
        </w:numPr>
        <w:spacing w:line="360" w:lineRule="auto"/>
        <w:ind w:left="-420" w:leftChars="0" w:firstLine="420" w:firstLineChars="0"/>
        <w:outlineLvl w:val="2"/>
        <w:rPr>
          <w:rFonts w:hint="eastAsia" w:ascii="宋体" w:hAnsi="宋体" w:eastAsia="宋体" w:cs="宋体"/>
          <w:b/>
          <w:color w:val="auto"/>
          <w:kern w:val="2"/>
          <w:sz w:val="32"/>
          <w:szCs w:val="24"/>
          <w:highlight w:val="none"/>
          <w:lang w:val="en-US" w:eastAsia="zh-CN" w:bidi="ar-SA"/>
        </w:rPr>
      </w:pPr>
      <w:r>
        <w:rPr>
          <w:rFonts w:hint="eastAsia" w:ascii="宋体" w:hAnsi="宋体" w:eastAsia="宋体" w:cs="宋体"/>
          <w:b/>
          <w:color w:val="auto"/>
          <w:kern w:val="2"/>
          <w:sz w:val="32"/>
          <w:szCs w:val="24"/>
          <w:highlight w:val="none"/>
          <w:lang w:val="en-US" w:eastAsia="zh-CN" w:bidi="ar-SA"/>
        </w:rPr>
        <w:t>全预制型橡胶跑道面层材料技术要求</w:t>
      </w:r>
    </w:p>
    <w:p w14:paraId="033E914E">
      <w:pPr>
        <w:numPr>
          <w:ilvl w:val="0"/>
          <w:numId w:val="4"/>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厚度要求</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场地面层平均厚度应≥14mm</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比总厚度低10 %的面积不大于总面积的10%。</w:t>
      </w:r>
    </w:p>
    <w:p w14:paraId="1DC0466D">
      <w:pPr>
        <w:numPr>
          <w:ilvl w:val="0"/>
          <w:numId w:val="4"/>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面层坡度</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环形跑道的纵向坡度</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跑进方向</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不大于0</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 xml:space="preserve"> 1%</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横向坡度</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由外沿向内沿</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垂直于跑进方向</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不大于1%。</w:t>
      </w:r>
    </w:p>
    <w:p w14:paraId="096112F1">
      <w:pPr>
        <w:numPr>
          <w:ilvl w:val="0"/>
          <w:numId w:val="4"/>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面层平整度:面层表面应平坦,任何位置和方向上的2m直尺下不应大于3mm的间隙。不应有大于1mm阶梯状起伏。</w:t>
      </w:r>
    </w:p>
    <w:p w14:paraId="287F760D">
      <w:pPr>
        <w:numPr>
          <w:ilvl w:val="0"/>
          <w:numId w:val="4"/>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根据设计要求，</w:t>
      </w:r>
      <w:r>
        <w:rPr>
          <w:rFonts w:hint="eastAsia" w:ascii="宋体" w:hAnsi="宋体" w:eastAsia="宋体" w:cs="宋体"/>
          <w:color w:val="auto"/>
          <w:sz w:val="21"/>
          <w:szCs w:val="21"/>
          <w:highlight w:val="none"/>
        </w:rPr>
        <w:t>本项目的全预制型橡胶面层选用级别为中国田径协会田径跑道面层产品审定名录</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预制型</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中的A级产品</w:t>
      </w:r>
      <w:r>
        <w:rPr>
          <w:rFonts w:hint="eastAsia" w:ascii="宋体" w:hAnsi="宋体" w:eastAsia="宋体" w:cs="宋体"/>
          <w:color w:val="auto"/>
          <w:sz w:val="21"/>
          <w:szCs w:val="21"/>
          <w:highlight w:val="none"/>
          <w:lang w:eastAsia="zh-CN"/>
        </w:rPr>
        <w:t>。</w:t>
      </w:r>
    </w:p>
    <w:p w14:paraId="1C65A050">
      <w:pPr>
        <w:numPr>
          <w:ilvl w:val="0"/>
          <w:numId w:val="4"/>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橡胶跑道面层材料中有害物质限量及气味要求</w:t>
      </w:r>
      <w:r>
        <w:rPr>
          <w:rFonts w:hint="eastAsia" w:ascii="宋体" w:hAnsi="宋体" w:eastAsia="宋体" w:cs="宋体"/>
          <w:color w:val="auto"/>
          <w:sz w:val="21"/>
          <w:szCs w:val="21"/>
          <w:highlight w:val="none"/>
          <w:lang w:val="en-US" w:eastAsia="zh-CN"/>
        </w:rPr>
        <w:t>和物理性能，应</w:t>
      </w:r>
      <w:r>
        <w:rPr>
          <w:rFonts w:hint="eastAsia" w:ascii="宋体" w:hAnsi="宋体" w:eastAsia="宋体" w:cs="宋体"/>
          <w:color w:val="auto"/>
          <w:sz w:val="21"/>
          <w:szCs w:val="21"/>
          <w:highlight w:val="none"/>
        </w:rPr>
        <w:t>符合 GB36246-2018《中小学合成材料面层运动场地》</w:t>
      </w:r>
      <w:r>
        <w:rPr>
          <w:rFonts w:hint="eastAsia" w:ascii="宋体" w:hAnsi="宋体" w:eastAsia="宋体" w:cs="宋体"/>
          <w:color w:val="auto"/>
          <w:sz w:val="21"/>
          <w:szCs w:val="21"/>
          <w:highlight w:val="none"/>
          <w:lang w:val="en-US" w:eastAsia="zh-CN"/>
        </w:rPr>
        <w:t>要求，满足本项目设计图纸要求。</w:t>
      </w:r>
    </w:p>
    <w:p w14:paraId="0608D7B4">
      <w:pPr>
        <w:numPr>
          <w:ilvl w:val="0"/>
          <w:numId w:val="4"/>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合成面层</w:t>
      </w:r>
      <w:r>
        <w:rPr>
          <w:rFonts w:hint="eastAsia" w:ascii="宋体" w:hAnsi="宋体" w:eastAsia="宋体" w:cs="宋体"/>
          <w:color w:val="auto"/>
          <w:sz w:val="21"/>
          <w:szCs w:val="21"/>
          <w:highlight w:val="none"/>
        </w:rPr>
        <w:t>有害物质限量及气味要求</w:t>
      </w:r>
      <w:r>
        <w:rPr>
          <w:rFonts w:hint="eastAsia" w:ascii="宋体" w:hAnsi="宋体" w:eastAsia="宋体" w:cs="宋体"/>
          <w:color w:val="auto"/>
          <w:sz w:val="21"/>
          <w:szCs w:val="21"/>
          <w:highlight w:val="none"/>
          <w:lang w:val="en-US" w:eastAsia="zh-CN"/>
        </w:rPr>
        <w:t>和物理性能</w:t>
      </w:r>
    </w:p>
    <w:p w14:paraId="5E2699D2">
      <w:pPr>
        <w:numPr>
          <w:ilvl w:val="0"/>
          <w:numId w:val="5"/>
        </w:numPr>
        <w:spacing w:line="360" w:lineRule="auto"/>
        <w:ind w:left="400" w:left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有害物质限量及气味</w:t>
      </w:r>
    </w:p>
    <w:p w14:paraId="293FD6BF">
      <w:pPr>
        <w:numPr>
          <w:ilvl w:val="0"/>
          <w:numId w:val="0"/>
        </w:numPr>
        <w:spacing w:line="360" w:lineRule="auto"/>
        <w:jc w:val="left"/>
        <w:rPr>
          <w:rFonts w:hint="eastAsia" w:ascii="宋体" w:hAnsi="宋体" w:eastAsia="宋体" w:cs="宋体"/>
          <w:color w:val="auto"/>
          <w:sz w:val="21"/>
          <w:szCs w:val="21"/>
          <w:highlight w:val="none"/>
          <w:lang w:eastAsia="zh-CN"/>
        </w:rPr>
      </w:pPr>
    </w:p>
    <w:tbl>
      <w:tblPr>
        <w:tblStyle w:val="6"/>
        <w:tblW w:w="0" w:type="auto"/>
        <w:tblInd w:w="12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891"/>
        <w:gridCol w:w="5758"/>
        <w:gridCol w:w="1643"/>
      </w:tblGrid>
      <w:tr w14:paraId="15EC503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649" w:type="dxa"/>
            <w:gridSpan w:val="2"/>
            <w:tcBorders>
              <w:top w:val="single" w:color="000000" w:sz="4" w:space="0"/>
              <w:left w:val="single" w:color="000000" w:sz="4" w:space="0"/>
              <w:bottom w:val="single" w:color="000000" w:sz="4" w:space="0"/>
              <w:right w:val="single" w:color="000000" w:sz="4" w:space="0"/>
            </w:tcBorders>
            <w:noWrap w:val="0"/>
            <w:vAlign w:val="top"/>
          </w:tcPr>
          <w:p w14:paraId="4C230DEB">
            <w:pPr>
              <w:ind w:firstLine="480"/>
              <w:jc w:val="center"/>
              <w:rPr>
                <w:rFonts w:hint="eastAsia" w:ascii="宋体" w:hAnsi="宋体" w:eastAsia="宋体" w:cs="宋体"/>
                <w:color w:val="auto"/>
                <w:highlight w:val="none"/>
              </w:rPr>
            </w:pPr>
            <w:r>
              <w:rPr>
                <w:rFonts w:hint="eastAsia" w:ascii="宋体" w:hAnsi="宋体" w:eastAsia="宋体" w:cs="宋体"/>
                <w:color w:val="auto"/>
                <w:sz w:val="24"/>
                <w:highlight w:val="none"/>
              </w:rPr>
              <w:t>检测项目</w:t>
            </w:r>
          </w:p>
        </w:tc>
        <w:tc>
          <w:tcPr>
            <w:tcW w:w="1643" w:type="dxa"/>
            <w:tcBorders>
              <w:top w:val="single" w:color="000000" w:sz="4" w:space="0"/>
              <w:left w:val="single" w:color="000000" w:sz="4" w:space="0"/>
              <w:bottom w:val="single" w:color="000000" w:sz="4" w:space="0"/>
              <w:right w:val="single" w:color="000000" w:sz="4" w:space="0"/>
            </w:tcBorders>
            <w:noWrap w:val="0"/>
            <w:vAlign w:val="top"/>
          </w:tcPr>
          <w:p w14:paraId="00971E25">
            <w:pPr>
              <w:jc w:val="center"/>
              <w:rPr>
                <w:rFonts w:hint="eastAsia" w:ascii="宋体" w:hAnsi="宋体" w:eastAsia="宋体" w:cs="宋体"/>
                <w:color w:val="auto"/>
                <w:highlight w:val="none"/>
              </w:rPr>
            </w:pPr>
            <w:r>
              <w:rPr>
                <w:rFonts w:hint="eastAsia" w:ascii="宋体" w:hAnsi="宋体" w:eastAsia="宋体" w:cs="宋体"/>
                <w:color w:val="auto"/>
                <w:sz w:val="24"/>
                <w:highlight w:val="none"/>
              </w:rPr>
              <w:t>技术要求</w:t>
            </w:r>
          </w:p>
        </w:tc>
      </w:tr>
      <w:tr w14:paraId="486A5AD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restart"/>
            <w:tcBorders>
              <w:top w:val="nil"/>
              <w:left w:val="single" w:color="000000" w:sz="4" w:space="0"/>
              <w:bottom w:val="single" w:color="000000" w:sz="4" w:space="0"/>
              <w:right w:val="single" w:color="000000" w:sz="4" w:space="0"/>
            </w:tcBorders>
            <w:noWrap w:val="0"/>
            <w:vAlign w:val="top"/>
          </w:tcPr>
          <w:p w14:paraId="0C6BB55A">
            <w:pPr>
              <w:jc w:val="center"/>
              <w:rPr>
                <w:rFonts w:hint="eastAsia" w:ascii="宋体" w:hAnsi="宋体" w:eastAsia="宋体" w:cs="宋体"/>
                <w:color w:val="auto"/>
                <w:highlight w:val="none"/>
              </w:rPr>
            </w:pPr>
            <w:r>
              <w:rPr>
                <w:rFonts w:hint="eastAsia" w:ascii="宋体" w:hAnsi="宋体" w:eastAsia="宋体" w:cs="宋体"/>
                <w:color w:val="auto"/>
                <w:sz w:val="24"/>
                <w:highlight w:val="none"/>
              </w:rPr>
              <w:t>有害物质含量</w:t>
            </w:r>
          </w:p>
        </w:tc>
        <w:tc>
          <w:tcPr>
            <w:tcW w:w="5758" w:type="dxa"/>
            <w:tcBorders>
              <w:top w:val="nil"/>
              <w:left w:val="single" w:color="000000" w:sz="4" w:space="0"/>
              <w:bottom w:val="single" w:color="000000" w:sz="4" w:space="0"/>
              <w:right w:val="single" w:color="000000" w:sz="4" w:space="0"/>
            </w:tcBorders>
            <w:noWrap w:val="0"/>
            <w:vAlign w:val="top"/>
          </w:tcPr>
          <w:p w14:paraId="0C7C0CA9">
            <w:pPr>
              <w:rPr>
                <w:rFonts w:hint="eastAsia" w:ascii="宋体" w:hAnsi="宋体" w:eastAsia="宋体" w:cs="宋体"/>
                <w:color w:val="auto"/>
                <w:highlight w:val="none"/>
              </w:rPr>
            </w:pPr>
            <w:r>
              <w:rPr>
                <w:rFonts w:hint="eastAsia" w:ascii="宋体" w:hAnsi="宋体" w:eastAsia="宋体" w:cs="宋体"/>
                <w:color w:val="auto"/>
                <w:sz w:val="24"/>
                <w:highlight w:val="none"/>
              </w:rPr>
              <w:t xml:space="preserve">3 种邻苯二甲酸酯类化合物（DBP、BBP、DEHP）总和 </w:t>
            </w:r>
            <w:r>
              <w:rPr>
                <w:rFonts w:hint="eastAsia" w:ascii="宋体" w:hAnsi="宋体" w:eastAsia="宋体" w:cs="宋体"/>
                <w:color w:val="auto"/>
                <w:sz w:val="24"/>
                <w:highlight w:val="none"/>
                <w:vertAlign w:val="superscript"/>
              </w:rPr>
              <w:t>a</w:t>
            </w:r>
            <w:r>
              <w:rPr>
                <w:rFonts w:hint="eastAsia" w:ascii="宋体" w:hAnsi="宋体" w:eastAsia="宋体" w:cs="宋体"/>
                <w:color w:val="auto"/>
                <w:sz w:val="24"/>
                <w:highlight w:val="none"/>
              </w:rPr>
              <w:t>/（g/kg）</w:t>
            </w:r>
          </w:p>
        </w:tc>
        <w:tc>
          <w:tcPr>
            <w:tcW w:w="1643" w:type="dxa"/>
            <w:tcBorders>
              <w:top w:val="single" w:color="000000" w:sz="4" w:space="0"/>
              <w:left w:val="single" w:color="000000" w:sz="4" w:space="0"/>
              <w:bottom w:val="single" w:color="000000" w:sz="4" w:space="0"/>
              <w:right w:val="single" w:color="000000" w:sz="4" w:space="0"/>
            </w:tcBorders>
            <w:noWrap w:val="0"/>
            <w:vAlign w:val="top"/>
          </w:tcPr>
          <w:p w14:paraId="504824CD">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384A4EE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6929E688">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54B0BCE5">
            <w:pPr>
              <w:rPr>
                <w:rFonts w:hint="eastAsia" w:ascii="宋体" w:hAnsi="宋体" w:eastAsia="宋体" w:cs="宋体"/>
                <w:color w:val="auto"/>
                <w:highlight w:val="none"/>
              </w:rPr>
            </w:pPr>
            <w:r>
              <w:rPr>
                <w:rFonts w:hint="eastAsia" w:ascii="宋体" w:hAnsi="宋体" w:eastAsia="宋体" w:cs="宋体"/>
                <w:color w:val="auto"/>
                <w:sz w:val="24"/>
                <w:highlight w:val="none"/>
              </w:rPr>
              <w:t xml:space="preserve">3 种邻苯二甲酸酯类化合物（DNOP、DINP、DIDP）总和 </w:t>
            </w:r>
            <w:r>
              <w:rPr>
                <w:rFonts w:hint="eastAsia" w:ascii="宋体" w:hAnsi="宋体" w:eastAsia="宋体" w:cs="宋体"/>
                <w:color w:val="auto"/>
                <w:sz w:val="24"/>
                <w:highlight w:val="none"/>
                <w:vertAlign w:val="superscript"/>
              </w:rPr>
              <w:t>a</w:t>
            </w:r>
            <w:r>
              <w:rPr>
                <w:rFonts w:hint="eastAsia" w:ascii="宋体" w:hAnsi="宋体" w:eastAsia="宋体" w:cs="宋体"/>
                <w:color w:val="auto"/>
                <w:sz w:val="24"/>
                <w:highlight w:val="none"/>
              </w:rPr>
              <w:t>/（g/kg）</w:t>
            </w:r>
          </w:p>
        </w:tc>
        <w:tc>
          <w:tcPr>
            <w:tcW w:w="1643" w:type="dxa"/>
            <w:tcBorders>
              <w:top w:val="nil"/>
              <w:left w:val="single" w:color="000000" w:sz="4" w:space="0"/>
              <w:bottom w:val="single" w:color="000000" w:sz="4" w:space="0"/>
              <w:right w:val="single" w:color="000000" w:sz="4" w:space="0"/>
            </w:tcBorders>
            <w:noWrap w:val="0"/>
            <w:vAlign w:val="top"/>
          </w:tcPr>
          <w:p w14:paraId="2F792FEE">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79CB16D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69E76F60">
            <w:pPr>
              <w:rPr>
                <w:rFonts w:hint="eastAsia" w:ascii="宋体" w:hAnsi="宋体" w:eastAsia="宋体" w:cs="宋体"/>
                <w:color w:val="auto"/>
                <w:highlight w:val="none"/>
              </w:rPr>
            </w:pPr>
          </w:p>
        </w:tc>
        <w:tc>
          <w:tcPr>
            <w:tcW w:w="5758" w:type="dxa"/>
            <w:vMerge w:val="restart"/>
            <w:tcBorders>
              <w:top w:val="nil"/>
              <w:left w:val="single" w:color="000000" w:sz="4" w:space="0"/>
              <w:right w:val="single" w:color="000000" w:sz="4" w:space="0"/>
            </w:tcBorders>
            <w:noWrap w:val="0"/>
            <w:vAlign w:val="top"/>
          </w:tcPr>
          <w:p w14:paraId="212E7C9D">
            <w:pPr>
              <w:rPr>
                <w:rFonts w:hint="eastAsia" w:ascii="宋体" w:hAnsi="宋体" w:eastAsia="宋体" w:cs="宋体"/>
                <w:color w:val="auto"/>
                <w:highlight w:val="none"/>
              </w:rPr>
            </w:pPr>
            <w:r>
              <w:rPr>
                <w:rFonts w:hint="eastAsia" w:ascii="宋体" w:hAnsi="宋体" w:eastAsia="宋体" w:cs="宋体"/>
                <w:color w:val="auto"/>
                <w:sz w:val="24"/>
                <w:highlight w:val="none"/>
              </w:rPr>
              <w:t>18 种多环芳烃总和</w:t>
            </w:r>
            <w:r>
              <w:rPr>
                <w:rFonts w:hint="eastAsia" w:ascii="宋体" w:hAnsi="宋体" w:eastAsia="宋体" w:cs="宋体"/>
                <w:color w:val="auto"/>
                <w:sz w:val="24"/>
                <w:highlight w:val="none"/>
                <w:vertAlign w:val="superscript"/>
              </w:rPr>
              <w:t xml:space="preserve"> </w:t>
            </w:r>
            <w:r>
              <w:rPr>
                <w:rFonts w:hint="eastAsia" w:ascii="宋体" w:hAnsi="宋体" w:eastAsia="宋体" w:cs="宋体"/>
                <w:color w:val="auto"/>
                <w:sz w:val="24"/>
                <w:highlight w:val="none"/>
                <w:vertAlign w:val="superscript"/>
                <w:lang w:val="en-US" w:eastAsia="zh-CN"/>
              </w:rPr>
              <w:t>b</w:t>
            </w:r>
            <w:r>
              <w:rPr>
                <w:rFonts w:hint="eastAsia" w:ascii="宋体" w:hAnsi="宋体" w:eastAsia="宋体" w:cs="宋体"/>
                <w:color w:val="auto"/>
                <w:sz w:val="24"/>
                <w:highlight w:val="none"/>
              </w:rPr>
              <w:t>/（mg/kg）</w:t>
            </w:r>
          </w:p>
        </w:tc>
        <w:tc>
          <w:tcPr>
            <w:tcW w:w="1643" w:type="dxa"/>
            <w:tcBorders>
              <w:top w:val="nil"/>
              <w:left w:val="single" w:color="000000" w:sz="4" w:space="0"/>
              <w:bottom w:val="single" w:color="000000" w:sz="4" w:space="0"/>
              <w:right w:val="single" w:color="000000" w:sz="4" w:space="0"/>
            </w:tcBorders>
            <w:noWrap w:val="0"/>
            <w:vAlign w:val="top"/>
          </w:tcPr>
          <w:p w14:paraId="60882B19">
            <w:pPr>
              <w:ind w:firstLine="480"/>
              <w:rPr>
                <w:rFonts w:hint="eastAsia" w:ascii="宋体" w:hAnsi="宋体" w:eastAsia="宋体" w:cs="宋体"/>
                <w:color w:val="auto"/>
                <w:sz w:val="24"/>
                <w:highlight w:val="none"/>
              </w:rPr>
            </w:pPr>
            <w:r>
              <w:rPr>
                <w:rFonts w:hint="eastAsia" w:ascii="宋体" w:hAnsi="宋体" w:eastAsia="宋体" w:cs="宋体"/>
                <w:color w:val="auto"/>
                <w:kern w:val="2"/>
                <w:sz w:val="24"/>
                <w:szCs w:val="24"/>
                <w:highlight w:val="none"/>
                <w:lang w:val="en-US" w:eastAsia="zh-CN" w:bidi="ar"/>
              </w:rPr>
              <w:t xml:space="preserve">≤50 </w:t>
            </w:r>
          </w:p>
        </w:tc>
      </w:tr>
      <w:tr w14:paraId="1601AB1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6EFD0E22">
            <w:pPr>
              <w:rPr>
                <w:rFonts w:hint="eastAsia" w:ascii="宋体" w:hAnsi="宋体" w:eastAsia="宋体" w:cs="宋体"/>
                <w:color w:val="auto"/>
                <w:highlight w:val="none"/>
              </w:rPr>
            </w:pPr>
          </w:p>
        </w:tc>
        <w:tc>
          <w:tcPr>
            <w:tcW w:w="5758" w:type="dxa"/>
            <w:vMerge w:val="continue"/>
            <w:tcBorders>
              <w:left w:val="single" w:color="000000" w:sz="4" w:space="0"/>
              <w:bottom w:val="single" w:color="000000" w:sz="4" w:space="0"/>
              <w:right w:val="single" w:color="000000" w:sz="4" w:space="0"/>
            </w:tcBorders>
            <w:noWrap w:val="0"/>
            <w:vAlign w:val="top"/>
          </w:tcPr>
          <w:p w14:paraId="17EF7407">
            <w:pPr>
              <w:rPr>
                <w:rFonts w:hint="eastAsia" w:ascii="宋体" w:hAnsi="宋体" w:eastAsia="宋体" w:cs="宋体"/>
                <w:color w:val="auto"/>
                <w:sz w:val="24"/>
                <w:highlight w:val="none"/>
              </w:rPr>
            </w:pPr>
          </w:p>
        </w:tc>
        <w:tc>
          <w:tcPr>
            <w:tcW w:w="1643" w:type="dxa"/>
            <w:tcBorders>
              <w:top w:val="nil"/>
              <w:left w:val="single" w:color="000000" w:sz="4" w:space="0"/>
              <w:bottom w:val="single" w:color="000000" w:sz="4" w:space="0"/>
              <w:right w:val="single" w:color="000000" w:sz="4" w:space="0"/>
            </w:tcBorders>
            <w:noWrap w:val="0"/>
            <w:vAlign w:val="top"/>
          </w:tcPr>
          <w:p w14:paraId="27D92CDC">
            <w:pPr>
              <w:ind w:firstLine="480"/>
              <w:rPr>
                <w:rFonts w:hint="eastAsia" w:ascii="宋体" w:hAnsi="宋体" w:eastAsia="宋体" w:cs="宋体"/>
                <w:color w:val="auto"/>
                <w:sz w:val="24"/>
                <w:highlight w:val="none"/>
                <w:lang w:val="en-US"/>
              </w:rPr>
            </w:pPr>
            <w:r>
              <w:rPr>
                <w:rFonts w:hint="eastAsia" w:ascii="宋体" w:hAnsi="宋体" w:eastAsia="宋体" w:cs="宋体"/>
                <w:color w:val="auto"/>
                <w:kern w:val="2"/>
                <w:sz w:val="24"/>
                <w:szCs w:val="24"/>
                <w:highlight w:val="none"/>
                <w:lang w:val="en-US" w:eastAsia="zh-CN" w:bidi="ar"/>
              </w:rPr>
              <w:t>≤20</w:t>
            </w:r>
            <w:r>
              <w:rPr>
                <w:rFonts w:hint="eastAsia" w:ascii="宋体" w:hAnsi="宋体" w:eastAsia="宋体" w:cs="宋体"/>
                <w:color w:val="auto"/>
                <w:kern w:val="2"/>
                <w:sz w:val="24"/>
                <w:szCs w:val="24"/>
                <w:highlight w:val="none"/>
                <w:vertAlign w:val="superscript"/>
                <w:lang w:val="en-US" w:eastAsia="zh-CN" w:bidi="ar"/>
              </w:rPr>
              <w:t>C</w:t>
            </w:r>
          </w:p>
        </w:tc>
      </w:tr>
      <w:tr w14:paraId="0D9AA20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5453E3A2">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50BFDD95">
            <w:pPr>
              <w:rPr>
                <w:rFonts w:hint="eastAsia" w:ascii="宋体" w:hAnsi="宋体" w:eastAsia="宋体" w:cs="宋体"/>
                <w:color w:val="auto"/>
                <w:highlight w:val="none"/>
              </w:rPr>
            </w:pPr>
            <w:r>
              <w:rPr>
                <w:rFonts w:hint="eastAsia" w:ascii="宋体" w:hAnsi="宋体" w:eastAsia="宋体" w:cs="宋体"/>
                <w:color w:val="auto"/>
                <w:sz w:val="24"/>
                <w:highlight w:val="none"/>
              </w:rPr>
              <w:t>苯并[a]芘/（mg/kg）</w:t>
            </w:r>
          </w:p>
        </w:tc>
        <w:tc>
          <w:tcPr>
            <w:tcW w:w="1643" w:type="dxa"/>
            <w:tcBorders>
              <w:top w:val="nil"/>
              <w:left w:val="single" w:color="000000" w:sz="4" w:space="0"/>
              <w:bottom w:val="single" w:color="000000" w:sz="4" w:space="0"/>
              <w:right w:val="single" w:color="000000" w:sz="4" w:space="0"/>
            </w:tcBorders>
            <w:noWrap w:val="0"/>
            <w:vAlign w:val="top"/>
          </w:tcPr>
          <w:p w14:paraId="0AFA1EE8">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73DB98A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065F759E">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2E78EA16">
            <w:pPr>
              <w:rPr>
                <w:rFonts w:hint="eastAsia" w:ascii="宋体" w:hAnsi="宋体" w:eastAsia="宋体" w:cs="宋体"/>
                <w:color w:val="auto"/>
                <w:highlight w:val="none"/>
              </w:rPr>
            </w:pPr>
            <w:r>
              <w:rPr>
                <w:rFonts w:hint="eastAsia" w:ascii="宋体" w:hAnsi="宋体" w:eastAsia="宋体" w:cs="宋体"/>
                <w:color w:val="auto"/>
                <w:sz w:val="24"/>
                <w:highlight w:val="none"/>
              </w:rPr>
              <w:t>短链氯化石腊（C10-C13）/（g/kg）</w:t>
            </w:r>
          </w:p>
        </w:tc>
        <w:tc>
          <w:tcPr>
            <w:tcW w:w="1643" w:type="dxa"/>
            <w:tcBorders>
              <w:top w:val="nil"/>
              <w:left w:val="single" w:color="000000" w:sz="4" w:space="0"/>
              <w:bottom w:val="single" w:color="000000" w:sz="4" w:space="0"/>
              <w:right w:val="single" w:color="000000" w:sz="4" w:space="0"/>
            </w:tcBorders>
            <w:noWrap w:val="0"/>
            <w:vAlign w:val="top"/>
          </w:tcPr>
          <w:p w14:paraId="4DC123A9">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≤1.5</w:t>
            </w:r>
          </w:p>
        </w:tc>
      </w:tr>
      <w:tr w14:paraId="5757AC6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6D430482">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7B9DE9D2">
            <w:pPr>
              <w:rPr>
                <w:rFonts w:hint="eastAsia" w:ascii="宋体" w:hAnsi="宋体" w:eastAsia="宋体" w:cs="宋体"/>
                <w:color w:val="auto"/>
                <w:highlight w:val="none"/>
              </w:rPr>
            </w:pPr>
            <w:r>
              <w:rPr>
                <w:rFonts w:hint="eastAsia" w:ascii="宋体" w:hAnsi="宋体" w:eastAsia="宋体" w:cs="宋体"/>
                <w:color w:val="auto"/>
                <w:sz w:val="24"/>
                <w:highlight w:val="none"/>
              </w:rPr>
              <w:t>4,4</w:t>
            </w:r>
            <w:r>
              <w:rPr>
                <w:rFonts w:hint="eastAsia" w:ascii="宋体" w:hAnsi="宋体" w:eastAsia="宋体" w:cs="宋体"/>
                <w:color w:val="auto"/>
                <w:sz w:val="24"/>
                <w:highlight w:val="none"/>
                <w:vertAlign w:val="superscript"/>
              </w:rPr>
              <w:t>,</w:t>
            </w:r>
            <w:r>
              <w:rPr>
                <w:rFonts w:hint="eastAsia" w:ascii="宋体" w:hAnsi="宋体" w:eastAsia="宋体" w:cs="宋体"/>
                <w:color w:val="auto"/>
                <w:sz w:val="24"/>
                <w:highlight w:val="none"/>
              </w:rPr>
              <w:t>-二氨基-3,3</w:t>
            </w:r>
            <w:r>
              <w:rPr>
                <w:rFonts w:hint="eastAsia" w:ascii="宋体" w:hAnsi="宋体" w:eastAsia="宋体" w:cs="宋体"/>
                <w:color w:val="auto"/>
                <w:sz w:val="24"/>
                <w:highlight w:val="none"/>
                <w:vertAlign w:val="superscript"/>
              </w:rPr>
              <w:t>,</w:t>
            </w:r>
            <w:r>
              <w:rPr>
                <w:rFonts w:hint="eastAsia" w:ascii="宋体" w:hAnsi="宋体" w:eastAsia="宋体" w:cs="宋体"/>
                <w:color w:val="auto"/>
                <w:sz w:val="24"/>
                <w:highlight w:val="none"/>
              </w:rPr>
              <w:t>-二氯二苯甲烷（MOCA）/（g/kg）</w:t>
            </w:r>
          </w:p>
        </w:tc>
        <w:tc>
          <w:tcPr>
            <w:tcW w:w="1643" w:type="dxa"/>
            <w:tcBorders>
              <w:top w:val="nil"/>
              <w:left w:val="single" w:color="000000" w:sz="4" w:space="0"/>
              <w:bottom w:val="single" w:color="000000" w:sz="4" w:space="0"/>
              <w:right w:val="single" w:color="000000" w:sz="4" w:space="0"/>
            </w:tcBorders>
            <w:noWrap w:val="0"/>
            <w:vAlign w:val="top"/>
          </w:tcPr>
          <w:p w14:paraId="60B26F69">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0594F97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4A09407A">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34825FDE">
            <w:pPr>
              <w:rPr>
                <w:rFonts w:hint="eastAsia" w:ascii="宋体" w:hAnsi="宋体" w:eastAsia="宋体" w:cs="宋体"/>
                <w:color w:val="auto"/>
                <w:highlight w:val="none"/>
              </w:rPr>
            </w:pPr>
            <w:r>
              <w:rPr>
                <w:rFonts w:hint="eastAsia" w:ascii="宋体" w:hAnsi="宋体" w:eastAsia="宋体" w:cs="宋体"/>
                <w:color w:val="auto"/>
                <w:sz w:val="24"/>
                <w:highlight w:val="none"/>
              </w:rPr>
              <w:t>游离甲苯二异氰酸酯（TDI）和游离六亚甲基二异氰酸酯（HDI）总和/（g/kg）</w:t>
            </w:r>
          </w:p>
        </w:tc>
        <w:tc>
          <w:tcPr>
            <w:tcW w:w="1643" w:type="dxa"/>
            <w:tcBorders>
              <w:top w:val="nil"/>
              <w:left w:val="single" w:color="000000" w:sz="4" w:space="0"/>
              <w:bottom w:val="single" w:color="000000" w:sz="4" w:space="0"/>
              <w:right w:val="single" w:color="000000" w:sz="4" w:space="0"/>
            </w:tcBorders>
            <w:noWrap w:val="0"/>
            <w:vAlign w:val="top"/>
          </w:tcPr>
          <w:p w14:paraId="183A5049">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≤0.2</w:t>
            </w:r>
          </w:p>
        </w:tc>
      </w:tr>
      <w:tr w14:paraId="35025C0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3E33D32B">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5FBB1EF0">
            <w:pPr>
              <w:rPr>
                <w:rFonts w:hint="eastAsia" w:ascii="宋体" w:hAnsi="宋体" w:eastAsia="宋体" w:cs="宋体"/>
                <w:color w:val="auto"/>
                <w:highlight w:val="none"/>
              </w:rPr>
            </w:pPr>
            <w:r>
              <w:rPr>
                <w:rFonts w:hint="eastAsia" w:ascii="宋体" w:hAnsi="宋体" w:eastAsia="宋体" w:cs="宋体"/>
                <w:color w:val="auto"/>
                <w:sz w:val="24"/>
                <w:highlight w:val="none"/>
              </w:rPr>
              <w:t>游离二苯基甲烷二异氰酸酯（MDI）/（g/kg）</w:t>
            </w:r>
          </w:p>
        </w:tc>
        <w:tc>
          <w:tcPr>
            <w:tcW w:w="1643" w:type="dxa"/>
            <w:tcBorders>
              <w:top w:val="nil"/>
              <w:left w:val="single" w:color="000000" w:sz="4" w:space="0"/>
              <w:bottom w:val="single" w:color="000000" w:sz="4" w:space="0"/>
              <w:right w:val="single" w:color="000000" w:sz="4" w:space="0"/>
            </w:tcBorders>
            <w:noWrap w:val="0"/>
            <w:vAlign w:val="top"/>
          </w:tcPr>
          <w:p w14:paraId="019FD36B">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7935955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01241110">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0CF55FAC">
            <w:pPr>
              <w:rPr>
                <w:rFonts w:hint="eastAsia" w:ascii="宋体" w:hAnsi="宋体" w:eastAsia="宋体" w:cs="宋体"/>
                <w:color w:val="auto"/>
                <w:highlight w:val="none"/>
              </w:rPr>
            </w:pPr>
            <w:r>
              <w:rPr>
                <w:rFonts w:hint="eastAsia" w:ascii="宋体" w:hAnsi="宋体" w:eastAsia="宋体" w:cs="宋体"/>
                <w:color w:val="auto"/>
                <w:sz w:val="24"/>
                <w:highlight w:val="none"/>
              </w:rPr>
              <w:t>可溶性铅/（mg/kg）</w:t>
            </w:r>
          </w:p>
        </w:tc>
        <w:tc>
          <w:tcPr>
            <w:tcW w:w="1643" w:type="dxa"/>
            <w:tcBorders>
              <w:top w:val="nil"/>
              <w:left w:val="single" w:color="000000" w:sz="4" w:space="0"/>
              <w:bottom w:val="single" w:color="000000" w:sz="4" w:space="0"/>
              <w:right w:val="single" w:color="000000" w:sz="4" w:space="0"/>
            </w:tcBorders>
            <w:noWrap w:val="0"/>
            <w:vAlign w:val="top"/>
          </w:tcPr>
          <w:p w14:paraId="470A9B72">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≤50</w:t>
            </w:r>
          </w:p>
        </w:tc>
      </w:tr>
      <w:tr w14:paraId="5F6ACD1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5011D832">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22C9894D">
            <w:pPr>
              <w:rPr>
                <w:rFonts w:hint="eastAsia" w:ascii="宋体" w:hAnsi="宋体" w:eastAsia="宋体" w:cs="宋体"/>
                <w:color w:val="auto"/>
                <w:highlight w:val="none"/>
              </w:rPr>
            </w:pPr>
            <w:r>
              <w:rPr>
                <w:rFonts w:hint="eastAsia" w:ascii="宋体" w:hAnsi="宋体" w:eastAsia="宋体" w:cs="宋体"/>
                <w:color w:val="auto"/>
                <w:sz w:val="24"/>
                <w:highlight w:val="none"/>
              </w:rPr>
              <w:t>可溶性镉/（mg/kg）</w:t>
            </w:r>
          </w:p>
        </w:tc>
        <w:tc>
          <w:tcPr>
            <w:tcW w:w="1643" w:type="dxa"/>
            <w:tcBorders>
              <w:top w:val="nil"/>
              <w:left w:val="single" w:color="000000" w:sz="4" w:space="0"/>
              <w:bottom w:val="single" w:color="000000" w:sz="4" w:space="0"/>
              <w:right w:val="single" w:color="000000" w:sz="4" w:space="0"/>
            </w:tcBorders>
            <w:noWrap w:val="0"/>
            <w:vAlign w:val="top"/>
          </w:tcPr>
          <w:p w14:paraId="2E47FA0A">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68FB90B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6616B915">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6AB0BFA6">
            <w:pPr>
              <w:rPr>
                <w:rFonts w:hint="eastAsia" w:ascii="宋体" w:hAnsi="宋体" w:eastAsia="宋体" w:cs="宋体"/>
                <w:color w:val="auto"/>
                <w:highlight w:val="none"/>
              </w:rPr>
            </w:pPr>
            <w:r>
              <w:rPr>
                <w:rFonts w:hint="eastAsia" w:ascii="宋体" w:hAnsi="宋体" w:eastAsia="宋体" w:cs="宋体"/>
                <w:color w:val="auto"/>
                <w:sz w:val="24"/>
                <w:highlight w:val="none"/>
              </w:rPr>
              <w:t>可溶性铬/（mg/kg）</w:t>
            </w:r>
          </w:p>
        </w:tc>
        <w:tc>
          <w:tcPr>
            <w:tcW w:w="1643" w:type="dxa"/>
            <w:tcBorders>
              <w:top w:val="nil"/>
              <w:left w:val="single" w:color="000000" w:sz="4" w:space="0"/>
              <w:bottom w:val="single" w:color="000000" w:sz="4" w:space="0"/>
              <w:right w:val="single" w:color="000000" w:sz="4" w:space="0"/>
            </w:tcBorders>
            <w:noWrap w:val="0"/>
            <w:vAlign w:val="top"/>
          </w:tcPr>
          <w:p w14:paraId="67FCE7AE">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1798E3A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auto" w:sz="4" w:space="0"/>
              <w:right w:val="single" w:color="000000" w:sz="4" w:space="0"/>
            </w:tcBorders>
            <w:noWrap w:val="0"/>
            <w:vAlign w:val="top"/>
          </w:tcPr>
          <w:p w14:paraId="15F41B93">
            <w:pPr>
              <w:rPr>
                <w:rFonts w:hint="eastAsia" w:ascii="宋体" w:hAnsi="宋体" w:eastAsia="宋体" w:cs="宋体"/>
                <w:color w:val="auto"/>
                <w:highlight w:val="none"/>
              </w:rPr>
            </w:pPr>
          </w:p>
        </w:tc>
        <w:tc>
          <w:tcPr>
            <w:tcW w:w="5758" w:type="dxa"/>
            <w:tcBorders>
              <w:top w:val="nil"/>
              <w:left w:val="single" w:color="000000" w:sz="4" w:space="0"/>
              <w:bottom w:val="single" w:color="auto" w:sz="4" w:space="0"/>
              <w:right w:val="single" w:color="000000" w:sz="4" w:space="0"/>
            </w:tcBorders>
            <w:noWrap w:val="0"/>
            <w:vAlign w:val="top"/>
          </w:tcPr>
          <w:p w14:paraId="6FD73FB5">
            <w:pPr>
              <w:rPr>
                <w:rFonts w:hint="eastAsia" w:ascii="宋体" w:hAnsi="宋体" w:eastAsia="宋体" w:cs="宋体"/>
                <w:color w:val="auto"/>
                <w:highlight w:val="none"/>
              </w:rPr>
            </w:pPr>
            <w:r>
              <w:rPr>
                <w:rFonts w:hint="eastAsia" w:ascii="宋体" w:hAnsi="宋体" w:eastAsia="宋体" w:cs="宋体"/>
                <w:color w:val="auto"/>
                <w:sz w:val="24"/>
                <w:highlight w:val="none"/>
              </w:rPr>
              <w:t>可溶性汞/（mg/kg）</w:t>
            </w:r>
          </w:p>
        </w:tc>
        <w:tc>
          <w:tcPr>
            <w:tcW w:w="1643" w:type="dxa"/>
            <w:tcBorders>
              <w:top w:val="nil"/>
              <w:left w:val="single" w:color="000000" w:sz="4" w:space="0"/>
              <w:bottom w:val="single" w:color="auto" w:sz="4" w:space="0"/>
              <w:right w:val="single" w:color="000000" w:sz="4" w:space="0"/>
            </w:tcBorders>
            <w:noWrap w:val="0"/>
            <w:vAlign w:val="top"/>
          </w:tcPr>
          <w:p w14:paraId="73A36F72">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≤2</w:t>
            </w:r>
          </w:p>
        </w:tc>
      </w:tr>
      <w:tr w14:paraId="22EB23F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restart"/>
            <w:tcBorders>
              <w:top w:val="single" w:color="auto" w:sz="4" w:space="0"/>
              <w:left w:val="single" w:color="auto" w:sz="4" w:space="0"/>
              <w:bottom w:val="single" w:color="auto" w:sz="4" w:space="0"/>
              <w:right w:val="single" w:color="auto" w:sz="4" w:space="0"/>
            </w:tcBorders>
            <w:noWrap w:val="0"/>
            <w:vAlign w:val="top"/>
          </w:tcPr>
          <w:p w14:paraId="356746C2">
            <w:pPr>
              <w:ind w:firstLine="480"/>
              <w:rPr>
                <w:rFonts w:hint="eastAsia" w:ascii="宋体" w:hAnsi="宋体" w:eastAsia="宋体" w:cs="宋体"/>
                <w:color w:val="auto"/>
                <w:highlight w:val="none"/>
              </w:rPr>
            </w:pPr>
          </w:p>
          <w:p w14:paraId="4800BD43">
            <w:pPr>
              <w:rPr>
                <w:rFonts w:hint="eastAsia" w:ascii="宋体" w:hAnsi="宋体" w:eastAsia="宋体" w:cs="宋体"/>
                <w:color w:val="auto"/>
                <w:highlight w:val="none"/>
              </w:rPr>
            </w:pPr>
            <w:r>
              <w:rPr>
                <w:rFonts w:hint="eastAsia" w:ascii="宋体" w:hAnsi="宋体" w:eastAsia="宋体" w:cs="宋体"/>
                <w:color w:val="auto"/>
                <w:sz w:val="24"/>
                <w:highlight w:val="none"/>
              </w:rPr>
              <w:t>有害物质释放量</w:t>
            </w:r>
          </w:p>
        </w:tc>
        <w:tc>
          <w:tcPr>
            <w:tcW w:w="5758" w:type="dxa"/>
            <w:tcBorders>
              <w:top w:val="single" w:color="auto" w:sz="4" w:space="0"/>
              <w:left w:val="single" w:color="auto" w:sz="4" w:space="0"/>
              <w:bottom w:val="single" w:color="auto" w:sz="4" w:space="0"/>
              <w:right w:val="single" w:color="auto" w:sz="4" w:space="0"/>
            </w:tcBorders>
            <w:noWrap w:val="0"/>
            <w:vAlign w:val="top"/>
          </w:tcPr>
          <w:p w14:paraId="00FA9995">
            <w:pPr>
              <w:rPr>
                <w:rFonts w:hint="eastAsia" w:ascii="宋体" w:hAnsi="宋体" w:eastAsia="宋体" w:cs="宋体"/>
                <w:color w:val="auto"/>
                <w:highlight w:val="none"/>
              </w:rPr>
            </w:pPr>
            <w:r>
              <w:rPr>
                <w:rFonts w:hint="eastAsia" w:ascii="宋体" w:hAnsi="宋体" w:eastAsia="宋体" w:cs="宋体"/>
                <w:color w:val="auto"/>
                <w:sz w:val="24"/>
                <w:highlight w:val="none"/>
              </w:rPr>
              <w:t>总挥发性有机化合物（TV</w:t>
            </w:r>
            <w:r>
              <w:rPr>
                <w:rFonts w:hint="eastAsia" w:ascii="宋体" w:hAnsi="宋体" w:eastAsia="宋体" w:cs="宋体"/>
                <w:color w:val="auto"/>
                <w:sz w:val="24"/>
                <w:highlight w:val="none"/>
                <w:lang w:val="en-US" w:eastAsia="zh-CN"/>
              </w:rPr>
              <w:t>O</w:t>
            </w:r>
            <w:r>
              <w:rPr>
                <w:rFonts w:hint="eastAsia" w:ascii="宋体" w:hAnsi="宋体" w:eastAsia="宋体" w:cs="宋体"/>
                <w:color w:val="auto"/>
                <w:sz w:val="24"/>
                <w:highlight w:val="none"/>
              </w:rPr>
              <w:t>C）/（mg/(m</w:t>
            </w:r>
            <w:r>
              <w:rPr>
                <w:rFonts w:hint="eastAsia" w:ascii="宋体" w:hAnsi="宋体" w:eastAsia="宋体" w:cs="宋体"/>
                <w:color w:val="auto"/>
                <w:sz w:val="24"/>
                <w:highlight w:val="none"/>
                <w:vertAlign w:val="superscript"/>
              </w:rPr>
              <w:t>2</w:t>
            </w:r>
            <w:r>
              <w:rPr>
                <w:rFonts w:hint="eastAsia" w:ascii="宋体" w:hAnsi="宋体" w:eastAsia="宋体" w:cs="宋体"/>
                <w:color w:val="auto"/>
                <w:sz w:val="24"/>
                <w:highlight w:val="none"/>
              </w:rPr>
              <w:t>·h）)</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044AFE1C">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≤5.0</w:t>
            </w:r>
          </w:p>
        </w:tc>
      </w:tr>
      <w:tr w14:paraId="4E83287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single" w:color="auto" w:sz="4" w:space="0"/>
              <w:left w:val="single" w:color="auto" w:sz="4" w:space="0"/>
              <w:bottom w:val="single" w:color="auto" w:sz="4" w:space="0"/>
              <w:right w:val="single" w:color="auto" w:sz="4" w:space="0"/>
            </w:tcBorders>
            <w:noWrap w:val="0"/>
            <w:vAlign w:val="top"/>
          </w:tcPr>
          <w:p w14:paraId="4C57AA5A">
            <w:pPr>
              <w:rPr>
                <w:rFonts w:hint="eastAsia" w:ascii="宋体" w:hAnsi="宋体" w:eastAsia="宋体" w:cs="宋体"/>
                <w:color w:val="auto"/>
                <w:highlight w:val="none"/>
              </w:rPr>
            </w:pPr>
          </w:p>
        </w:tc>
        <w:tc>
          <w:tcPr>
            <w:tcW w:w="5758" w:type="dxa"/>
            <w:tcBorders>
              <w:top w:val="single" w:color="auto" w:sz="4" w:space="0"/>
              <w:left w:val="single" w:color="auto" w:sz="4" w:space="0"/>
              <w:bottom w:val="single" w:color="auto" w:sz="4" w:space="0"/>
              <w:right w:val="single" w:color="auto" w:sz="4" w:space="0"/>
            </w:tcBorders>
            <w:noWrap w:val="0"/>
            <w:vAlign w:val="top"/>
          </w:tcPr>
          <w:p w14:paraId="70217137">
            <w:pPr>
              <w:rPr>
                <w:rFonts w:hint="eastAsia" w:ascii="宋体" w:hAnsi="宋体" w:eastAsia="宋体" w:cs="宋体"/>
                <w:color w:val="auto"/>
                <w:highlight w:val="none"/>
              </w:rPr>
            </w:pPr>
            <w:r>
              <w:rPr>
                <w:rFonts w:hint="eastAsia" w:ascii="宋体" w:hAnsi="宋体" w:eastAsia="宋体" w:cs="宋体"/>
                <w:color w:val="auto"/>
                <w:sz w:val="24"/>
                <w:highlight w:val="none"/>
              </w:rPr>
              <w:t>甲醛/（mg/(m2·h）)</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5F069BB0">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≤0.4</w:t>
            </w:r>
          </w:p>
        </w:tc>
      </w:tr>
      <w:tr w14:paraId="59ACEEE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single" w:color="auto" w:sz="4" w:space="0"/>
              <w:left w:val="single" w:color="auto" w:sz="4" w:space="0"/>
              <w:bottom w:val="single" w:color="auto" w:sz="4" w:space="0"/>
              <w:right w:val="single" w:color="auto" w:sz="4" w:space="0"/>
            </w:tcBorders>
            <w:noWrap w:val="0"/>
            <w:vAlign w:val="top"/>
          </w:tcPr>
          <w:p w14:paraId="1A500677">
            <w:pPr>
              <w:rPr>
                <w:rFonts w:hint="eastAsia" w:ascii="宋体" w:hAnsi="宋体" w:eastAsia="宋体" w:cs="宋体"/>
                <w:color w:val="auto"/>
                <w:highlight w:val="none"/>
              </w:rPr>
            </w:pPr>
          </w:p>
        </w:tc>
        <w:tc>
          <w:tcPr>
            <w:tcW w:w="5758" w:type="dxa"/>
            <w:tcBorders>
              <w:top w:val="single" w:color="auto" w:sz="4" w:space="0"/>
              <w:left w:val="single" w:color="auto" w:sz="4" w:space="0"/>
              <w:bottom w:val="single" w:color="auto" w:sz="4" w:space="0"/>
              <w:right w:val="single" w:color="auto" w:sz="4" w:space="0"/>
            </w:tcBorders>
            <w:noWrap w:val="0"/>
            <w:vAlign w:val="top"/>
          </w:tcPr>
          <w:p w14:paraId="79A19252">
            <w:pPr>
              <w:rPr>
                <w:rFonts w:hint="eastAsia" w:ascii="宋体" w:hAnsi="宋体" w:eastAsia="宋体" w:cs="宋体"/>
                <w:color w:val="auto"/>
                <w:highlight w:val="none"/>
              </w:rPr>
            </w:pPr>
            <w:r>
              <w:rPr>
                <w:rFonts w:hint="eastAsia" w:ascii="宋体" w:hAnsi="宋体" w:eastAsia="宋体" w:cs="宋体"/>
                <w:color w:val="auto"/>
                <w:sz w:val="24"/>
                <w:highlight w:val="none"/>
              </w:rPr>
              <w:t>苯/（mg/(m2·h）)</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3358A9C2">
            <w:pPr>
              <w:ind w:firstLine="480"/>
              <w:rPr>
                <w:rFonts w:hint="eastAsia" w:ascii="宋体" w:hAnsi="宋体" w:eastAsia="宋体" w:cs="宋体"/>
                <w:color w:val="auto"/>
                <w:highlight w:val="none"/>
                <w:lang w:val="en-US" w:eastAsia="zh-CN"/>
              </w:rPr>
            </w:pPr>
            <w:r>
              <w:rPr>
                <w:rFonts w:hint="eastAsia" w:ascii="宋体" w:hAnsi="宋体" w:eastAsia="宋体" w:cs="宋体"/>
                <w:color w:val="auto"/>
                <w:sz w:val="24"/>
                <w:highlight w:val="none"/>
              </w:rPr>
              <w:t>≤0.</w:t>
            </w:r>
            <w:r>
              <w:rPr>
                <w:rFonts w:hint="eastAsia" w:ascii="宋体" w:hAnsi="宋体" w:eastAsia="宋体" w:cs="宋体"/>
                <w:color w:val="auto"/>
                <w:sz w:val="24"/>
                <w:highlight w:val="none"/>
                <w:lang w:val="en-US" w:eastAsia="zh-CN"/>
              </w:rPr>
              <w:t>1</w:t>
            </w:r>
          </w:p>
        </w:tc>
      </w:tr>
      <w:tr w14:paraId="0FF765D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single" w:color="auto" w:sz="4" w:space="0"/>
              <w:left w:val="single" w:color="auto" w:sz="4" w:space="0"/>
              <w:bottom w:val="single" w:color="auto" w:sz="4" w:space="0"/>
              <w:right w:val="single" w:color="auto" w:sz="4" w:space="0"/>
            </w:tcBorders>
            <w:noWrap w:val="0"/>
            <w:vAlign w:val="top"/>
          </w:tcPr>
          <w:p w14:paraId="76E2D2BF">
            <w:pPr>
              <w:rPr>
                <w:rFonts w:hint="eastAsia" w:ascii="宋体" w:hAnsi="宋体" w:eastAsia="宋体" w:cs="宋体"/>
                <w:color w:val="auto"/>
                <w:highlight w:val="none"/>
              </w:rPr>
            </w:pPr>
          </w:p>
        </w:tc>
        <w:tc>
          <w:tcPr>
            <w:tcW w:w="5758" w:type="dxa"/>
            <w:tcBorders>
              <w:top w:val="single" w:color="auto" w:sz="4" w:space="0"/>
              <w:left w:val="single" w:color="auto" w:sz="4" w:space="0"/>
              <w:bottom w:val="single" w:color="auto" w:sz="4" w:space="0"/>
              <w:right w:val="single" w:color="auto" w:sz="4" w:space="0"/>
            </w:tcBorders>
            <w:noWrap w:val="0"/>
            <w:vAlign w:val="top"/>
          </w:tcPr>
          <w:p w14:paraId="26D28FB0">
            <w:pPr>
              <w:rPr>
                <w:rFonts w:hint="eastAsia" w:ascii="宋体" w:hAnsi="宋体" w:eastAsia="宋体" w:cs="宋体"/>
                <w:color w:val="auto"/>
                <w:highlight w:val="none"/>
              </w:rPr>
            </w:pPr>
            <w:r>
              <w:rPr>
                <w:rFonts w:hint="eastAsia" w:ascii="宋体" w:hAnsi="宋体" w:eastAsia="宋体" w:cs="宋体"/>
                <w:color w:val="auto"/>
                <w:sz w:val="24"/>
                <w:highlight w:val="none"/>
              </w:rPr>
              <w:t>甲苯、二甲苯和乙苯总和（mg/(m</w:t>
            </w:r>
            <w:r>
              <w:rPr>
                <w:rFonts w:hint="eastAsia" w:ascii="宋体" w:hAnsi="宋体" w:eastAsia="宋体" w:cs="宋体"/>
                <w:color w:val="auto"/>
                <w:sz w:val="24"/>
                <w:highlight w:val="none"/>
                <w:vertAlign w:val="superscript"/>
              </w:rPr>
              <w:t>2</w:t>
            </w:r>
            <w:r>
              <w:rPr>
                <w:rFonts w:hint="eastAsia" w:ascii="宋体" w:hAnsi="宋体" w:eastAsia="宋体" w:cs="宋体"/>
                <w:color w:val="auto"/>
                <w:sz w:val="24"/>
                <w:highlight w:val="none"/>
              </w:rPr>
              <w:t>·h）)</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5A0C95AA">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2709C59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tcBorders>
              <w:top w:val="single" w:color="auto" w:sz="4" w:space="0"/>
              <w:left w:val="single" w:color="auto" w:sz="4" w:space="0"/>
              <w:bottom w:val="single" w:color="auto" w:sz="4" w:space="0"/>
              <w:right w:val="single" w:color="auto" w:sz="4" w:space="0"/>
            </w:tcBorders>
            <w:noWrap w:val="0"/>
            <w:vAlign w:val="top"/>
          </w:tcPr>
          <w:p w14:paraId="6E922738">
            <w:pPr>
              <w:rPr>
                <w:rFonts w:hint="eastAsia" w:ascii="宋体" w:hAnsi="宋体" w:eastAsia="宋体" w:cs="宋体"/>
                <w:color w:val="auto"/>
                <w:highlight w:val="none"/>
              </w:rPr>
            </w:pPr>
          </w:p>
        </w:tc>
        <w:tc>
          <w:tcPr>
            <w:tcW w:w="5758" w:type="dxa"/>
            <w:tcBorders>
              <w:top w:val="single" w:color="auto" w:sz="4" w:space="0"/>
              <w:left w:val="single" w:color="auto" w:sz="4" w:space="0"/>
              <w:bottom w:val="single" w:color="auto" w:sz="4" w:space="0"/>
              <w:right w:val="single" w:color="auto" w:sz="4" w:space="0"/>
            </w:tcBorders>
            <w:noWrap w:val="0"/>
            <w:vAlign w:val="top"/>
          </w:tcPr>
          <w:p w14:paraId="5BDB5084">
            <w:pPr>
              <w:keepNext w:val="0"/>
              <w:keepLines w:val="0"/>
              <w:widowControl/>
              <w:suppressLineNumbers w:val="0"/>
              <w:jc w:val="left"/>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二硫化碳</w:t>
            </w:r>
            <w:r>
              <w:rPr>
                <w:rFonts w:hint="eastAsia" w:ascii="宋体" w:hAnsi="宋体" w:eastAsia="宋体" w:cs="宋体"/>
                <w:color w:val="auto"/>
                <w:sz w:val="24"/>
                <w:highlight w:val="none"/>
              </w:rPr>
              <w:t>（mg/(m</w:t>
            </w:r>
            <w:r>
              <w:rPr>
                <w:rFonts w:hint="eastAsia" w:ascii="宋体" w:hAnsi="宋体" w:eastAsia="宋体" w:cs="宋体"/>
                <w:color w:val="auto"/>
                <w:sz w:val="24"/>
                <w:highlight w:val="none"/>
                <w:vertAlign w:val="superscript"/>
              </w:rPr>
              <w:t>2</w:t>
            </w:r>
            <w:r>
              <w:rPr>
                <w:rFonts w:hint="eastAsia" w:ascii="宋体" w:hAnsi="宋体" w:eastAsia="宋体" w:cs="宋体"/>
                <w:color w:val="auto"/>
                <w:sz w:val="24"/>
                <w:highlight w:val="none"/>
              </w:rPr>
              <w:t>·h）)</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5849E99F">
            <w:pPr>
              <w:ind w:firstLine="480"/>
              <w:rPr>
                <w:rFonts w:hint="eastAsia" w:ascii="宋体" w:hAnsi="宋体" w:eastAsia="宋体" w:cs="宋体"/>
                <w:color w:val="auto"/>
                <w:sz w:val="24"/>
                <w:highlight w:val="none"/>
              </w:rPr>
            </w:pP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val="en-US" w:eastAsia="zh-CN"/>
              </w:rPr>
              <w:t>7</w:t>
            </w:r>
            <w:r>
              <w:rPr>
                <w:rFonts w:hint="eastAsia" w:ascii="宋体" w:hAnsi="宋体" w:eastAsia="宋体" w:cs="宋体"/>
                <w:color w:val="auto"/>
                <w:sz w:val="24"/>
                <w:highlight w:val="none"/>
              </w:rPr>
              <w:t>.0</w:t>
            </w:r>
          </w:p>
        </w:tc>
      </w:tr>
      <w:tr w14:paraId="51C6650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tcBorders>
              <w:top w:val="single" w:color="auto" w:sz="4" w:space="0"/>
              <w:left w:val="single" w:color="auto" w:sz="4" w:space="0"/>
              <w:bottom w:val="single" w:color="auto" w:sz="4" w:space="0"/>
              <w:right w:val="single" w:color="auto" w:sz="4" w:space="0"/>
            </w:tcBorders>
            <w:noWrap w:val="0"/>
            <w:vAlign w:val="top"/>
          </w:tcPr>
          <w:p w14:paraId="71322437">
            <w:pPr>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气味</w:t>
            </w:r>
          </w:p>
        </w:tc>
        <w:tc>
          <w:tcPr>
            <w:tcW w:w="5758" w:type="dxa"/>
            <w:tcBorders>
              <w:top w:val="single" w:color="auto" w:sz="4" w:space="0"/>
              <w:left w:val="single" w:color="auto" w:sz="4" w:space="0"/>
              <w:bottom w:val="single" w:color="auto" w:sz="4" w:space="0"/>
              <w:right w:val="single" w:color="auto" w:sz="4" w:space="0"/>
            </w:tcBorders>
            <w:noWrap w:val="0"/>
            <w:vAlign w:val="top"/>
          </w:tcPr>
          <w:p w14:paraId="1E8586B4">
            <w:pPr>
              <w:keepNext w:val="0"/>
              <w:keepLines w:val="0"/>
              <w:widowControl/>
              <w:suppressLineNumbers w:val="0"/>
              <w:jc w:val="left"/>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气味等级/级</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32DB5C32">
            <w:pPr>
              <w:ind w:firstLine="48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val="en-US" w:eastAsia="zh-CN"/>
              </w:rPr>
              <w:t>3</w:t>
            </w:r>
          </w:p>
        </w:tc>
      </w:tr>
      <w:tr w14:paraId="47C3EE6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8292" w:type="dxa"/>
            <w:gridSpan w:val="3"/>
            <w:tcBorders>
              <w:top w:val="single" w:color="auto" w:sz="4" w:space="0"/>
              <w:left w:val="single" w:color="auto" w:sz="4" w:space="0"/>
              <w:bottom w:val="single" w:color="auto" w:sz="4" w:space="0"/>
              <w:right w:val="single" w:color="auto" w:sz="4" w:space="0"/>
            </w:tcBorders>
            <w:noWrap w:val="0"/>
            <w:vAlign w:val="top"/>
          </w:tcPr>
          <w:p w14:paraId="58527FA2">
            <w:pPr>
              <w:ind w:firstLine="480"/>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说明:C取距合成材料面层上表面5mm以内的部分进行测试。</w:t>
            </w:r>
          </w:p>
        </w:tc>
      </w:tr>
    </w:tbl>
    <w:p w14:paraId="53B998E0">
      <w:pPr>
        <w:numPr>
          <w:ilvl w:val="0"/>
          <w:numId w:val="0"/>
        </w:numPr>
        <w:spacing w:line="360" w:lineRule="auto"/>
        <w:jc w:val="left"/>
        <w:rPr>
          <w:rFonts w:hint="eastAsia" w:ascii="宋体" w:hAnsi="宋体" w:eastAsia="宋体" w:cs="宋体"/>
          <w:color w:val="auto"/>
          <w:sz w:val="21"/>
          <w:szCs w:val="21"/>
          <w:highlight w:val="none"/>
        </w:rPr>
      </w:pPr>
    </w:p>
    <w:p w14:paraId="12E9279C">
      <w:pPr>
        <w:numPr>
          <w:ilvl w:val="0"/>
          <w:numId w:val="0"/>
        </w:numPr>
        <w:spacing w:line="360" w:lineRule="auto"/>
        <w:ind w:left="400" w:left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（2）物理性能</w:t>
      </w:r>
    </w:p>
    <w:tbl>
      <w:tblPr>
        <w:tblStyle w:val="6"/>
        <w:tblW w:w="0" w:type="auto"/>
        <w:tblInd w:w="12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1286"/>
        <w:gridCol w:w="5095"/>
        <w:gridCol w:w="1910"/>
      </w:tblGrid>
      <w:tr w14:paraId="53A3A29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381" w:type="dxa"/>
            <w:gridSpan w:val="2"/>
            <w:tcBorders>
              <w:top w:val="single" w:color="000000" w:sz="4" w:space="0"/>
              <w:left w:val="single" w:color="000000" w:sz="4" w:space="0"/>
              <w:bottom w:val="single" w:color="000000" w:sz="4" w:space="0"/>
              <w:right w:val="single" w:color="000000" w:sz="4" w:space="0"/>
            </w:tcBorders>
            <w:noWrap w:val="0"/>
            <w:vAlign w:val="top"/>
          </w:tcPr>
          <w:p w14:paraId="0554B3D9">
            <w:pPr>
              <w:ind w:firstLine="480"/>
              <w:jc w:val="center"/>
              <w:rPr>
                <w:rFonts w:hint="eastAsia" w:ascii="宋体" w:hAnsi="宋体" w:eastAsia="宋体" w:cs="宋体"/>
                <w:color w:val="auto"/>
                <w:highlight w:val="none"/>
              </w:rPr>
            </w:pPr>
            <w:r>
              <w:rPr>
                <w:rFonts w:hint="eastAsia" w:ascii="宋体" w:hAnsi="宋体" w:eastAsia="宋体" w:cs="宋体"/>
                <w:color w:val="auto"/>
                <w:sz w:val="24"/>
                <w:highlight w:val="none"/>
              </w:rPr>
              <w:t>检测项目</w:t>
            </w:r>
          </w:p>
        </w:tc>
        <w:tc>
          <w:tcPr>
            <w:tcW w:w="1910" w:type="dxa"/>
            <w:tcBorders>
              <w:top w:val="single" w:color="000000" w:sz="4" w:space="0"/>
              <w:left w:val="single" w:color="000000" w:sz="4" w:space="0"/>
              <w:bottom w:val="single" w:color="000000" w:sz="4" w:space="0"/>
              <w:right w:val="single" w:color="000000" w:sz="4" w:space="0"/>
            </w:tcBorders>
            <w:noWrap w:val="0"/>
            <w:vAlign w:val="top"/>
          </w:tcPr>
          <w:p w14:paraId="492442B4">
            <w:pPr>
              <w:jc w:val="center"/>
              <w:rPr>
                <w:rFonts w:hint="eastAsia" w:ascii="宋体" w:hAnsi="宋体" w:eastAsia="宋体" w:cs="宋体"/>
                <w:color w:val="auto"/>
                <w:highlight w:val="none"/>
              </w:rPr>
            </w:pPr>
            <w:r>
              <w:rPr>
                <w:rFonts w:hint="eastAsia" w:ascii="宋体" w:hAnsi="宋体" w:eastAsia="宋体" w:cs="宋体"/>
                <w:color w:val="auto"/>
                <w:sz w:val="24"/>
                <w:highlight w:val="none"/>
              </w:rPr>
              <w:t>技术要求</w:t>
            </w:r>
          </w:p>
        </w:tc>
      </w:tr>
      <w:tr w14:paraId="2B76B69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286" w:type="dxa"/>
            <w:vMerge w:val="restart"/>
            <w:tcBorders>
              <w:top w:val="nil"/>
              <w:left w:val="single" w:color="000000" w:sz="4" w:space="0"/>
              <w:bottom w:val="single" w:color="000000" w:sz="4" w:space="0"/>
              <w:right w:val="single" w:color="000000" w:sz="4" w:space="0"/>
            </w:tcBorders>
            <w:noWrap w:val="0"/>
            <w:vAlign w:val="top"/>
          </w:tcPr>
          <w:p w14:paraId="1A0B4414">
            <w:pPr>
              <w:ind w:firstLine="480"/>
              <w:jc w:val="center"/>
              <w:rPr>
                <w:rFonts w:hint="eastAsia" w:ascii="宋体" w:hAnsi="宋体" w:eastAsia="宋体" w:cs="宋体"/>
                <w:color w:val="auto"/>
                <w:highlight w:val="none"/>
              </w:rPr>
            </w:pPr>
          </w:p>
          <w:p w14:paraId="46CDD317">
            <w:pPr>
              <w:ind w:firstLine="480"/>
              <w:jc w:val="center"/>
              <w:rPr>
                <w:rFonts w:hint="eastAsia" w:ascii="宋体" w:hAnsi="宋体" w:eastAsia="宋体" w:cs="宋体"/>
                <w:color w:val="auto"/>
                <w:highlight w:val="none"/>
              </w:rPr>
            </w:pPr>
          </w:p>
          <w:p w14:paraId="37850A05">
            <w:pPr>
              <w:jc w:val="center"/>
              <w:rPr>
                <w:rFonts w:hint="eastAsia" w:ascii="宋体" w:hAnsi="宋体" w:eastAsia="宋体" w:cs="宋体"/>
                <w:color w:val="auto"/>
                <w:highlight w:val="none"/>
              </w:rPr>
            </w:pPr>
            <w:r>
              <w:rPr>
                <w:rFonts w:hint="eastAsia" w:ascii="宋体" w:hAnsi="宋体" w:eastAsia="宋体" w:cs="宋体"/>
                <w:color w:val="auto"/>
                <w:sz w:val="24"/>
                <w:highlight w:val="none"/>
              </w:rPr>
              <w:t>现浇型物理机械性能</w:t>
            </w:r>
          </w:p>
        </w:tc>
        <w:tc>
          <w:tcPr>
            <w:tcW w:w="5095" w:type="dxa"/>
            <w:tcBorders>
              <w:top w:val="nil"/>
              <w:left w:val="single" w:color="000000" w:sz="4" w:space="0"/>
              <w:bottom w:val="single" w:color="000000" w:sz="4" w:space="0"/>
              <w:right w:val="single" w:color="000000" w:sz="4" w:space="0"/>
            </w:tcBorders>
            <w:noWrap w:val="0"/>
            <w:vAlign w:val="top"/>
          </w:tcPr>
          <w:p w14:paraId="556173FE">
            <w:pPr>
              <w:ind w:firstLine="480"/>
              <w:jc w:val="center"/>
              <w:rPr>
                <w:rFonts w:hint="eastAsia" w:ascii="宋体" w:hAnsi="宋体" w:eastAsia="宋体" w:cs="宋体"/>
                <w:color w:val="auto"/>
                <w:highlight w:val="none"/>
              </w:rPr>
            </w:pPr>
            <w:r>
              <w:rPr>
                <w:rFonts w:hint="eastAsia" w:ascii="宋体" w:hAnsi="宋体" w:eastAsia="宋体" w:cs="宋体"/>
                <w:color w:val="auto"/>
                <w:sz w:val="24"/>
                <w:highlight w:val="none"/>
              </w:rPr>
              <w:t>冲击吸收/（%）：田径场地</w:t>
            </w:r>
          </w:p>
        </w:tc>
        <w:tc>
          <w:tcPr>
            <w:tcW w:w="1910" w:type="dxa"/>
            <w:tcBorders>
              <w:top w:val="nil"/>
              <w:left w:val="single" w:color="000000" w:sz="4" w:space="0"/>
              <w:bottom w:val="single" w:color="000000" w:sz="4" w:space="0"/>
              <w:right w:val="single" w:color="000000" w:sz="4" w:space="0"/>
            </w:tcBorders>
            <w:noWrap w:val="0"/>
            <w:vAlign w:val="top"/>
          </w:tcPr>
          <w:p w14:paraId="14AC8BA6">
            <w:pPr>
              <w:jc w:val="center"/>
              <w:rPr>
                <w:rFonts w:hint="eastAsia" w:ascii="宋体" w:hAnsi="宋体" w:eastAsia="宋体" w:cs="宋体"/>
                <w:color w:val="auto"/>
                <w:highlight w:val="none"/>
              </w:rPr>
            </w:pPr>
            <w:r>
              <w:rPr>
                <w:rFonts w:hint="eastAsia" w:ascii="宋体" w:hAnsi="宋体" w:eastAsia="宋体" w:cs="宋体"/>
                <w:color w:val="auto"/>
                <w:sz w:val="24"/>
                <w:highlight w:val="none"/>
              </w:rPr>
              <w:t>35～50</w:t>
            </w:r>
          </w:p>
        </w:tc>
      </w:tr>
      <w:tr w14:paraId="22BC41E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286" w:type="dxa"/>
            <w:vMerge w:val="continue"/>
            <w:tcBorders>
              <w:left w:val="single" w:color="000000" w:sz="4" w:space="0"/>
              <w:right w:val="single" w:color="000000" w:sz="4" w:space="0"/>
            </w:tcBorders>
            <w:noWrap w:val="0"/>
            <w:vAlign w:val="top"/>
          </w:tcPr>
          <w:p w14:paraId="69AF33F7">
            <w:pPr>
              <w:jc w:val="center"/>
              <w:rPr>
                <w:rFonts w:hint="eastAsia" w:ascii="宋体" w:hAnsi="宋体" w:eastAsia="宋体" w:cs="宋体"/>
                <w:color w:val="auto"/>
                <w:sz w:val="24"/>
                <w:highlight w:val="none"/>
              </w:rPr>
            </w:pPr>
          </w:p>
        </w:tc>
        <w:tc>
          <w:tcPr>
            <w:tcW w:w="5095" w:type="dxa"/>
            <w:tcBorders>
              <w:top w:val="nil"/>
              <w:left w:val="single" w:color="000000" w:sz="4" w:space="0"/>
              <w:bottom w:val="single" w:color="000000" w:sz="4" w:space="0"/>
              <w:right w:val="single" w:color="000000" w:sz="4" w:space="0"/>
            </w:tcBorders>
            <w:noWrap w:val="0"/>
            <w:vAlign w:val="top"/>
          </w:tcPr>
          <w:p w14:paraId="63924D5A">
            <w:pPr>
              <w:ind w:firstLine="48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垂直变形/(mm)</w:t>
            </w:r>
          </w:p>
        </w:tc>
        <w:tc>
          <w:tcPr>
            <w:tcW w:w="1910" w:type="dxa"/>
            <w:tcBorders>
              <w:top w:val="nil"/>
              <w:left w:val="single" w:color="000000" w:sz="4" w:space="0"/>
              <w:bottom w:val="single" w:color="000000" w:sz="4" w:space="0"/>
              <w:right w:val="single" w:color="000000" w:sz="4" w:space="0"/>
            </w:tcBorders>
            <w:noWrap w:val="0"/>
            <w:vAlign w:val="top"/>
          </w:tcPr>
          <w:p w14:paraId="74B22015">
            <w:pPr>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0.6～3.0</w:t>
            </w:r>
          </w:p>
        </w:tc>
      </w:tr>
      <w:tr w14:paraId="42D7AF3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286" w:type="dxa"/>
            <w:vMerge w:val="continue"/>
            <w:tcBorders>
              <w:top w:val="nil"/>
              <w:left w:val="single" w:color="000000" w:sz="4" w:space="0"/>
              <w:bottom w:val="single" w:color="000000" w:sz="4" w:space="0"/>
              <w:right w:val="single" w:color="000000" w:sz="4" w:space="0"/>
            </w:tcBorders>
            <w:noWrap w:val="0"/>
            <w:vAlign w:val="top"/>
          </w:tcPr>
          <w:p w14:paraId="3B5BAFE9">
            <w:pPr>
              <w:rPr>
                <w:rFonts w:hint="eastAsia" w:ascii="宋体" w:hAnsi="宋体" w:eastAsia="宋体" w:cs="宋体"/>
                <w:color w:val="auto"/>
                <w:highlight w:val="none"/>
              </w:rPr>
            </w:pPr>
          </w:p>
        </w:tc>
        <w:tc>
          <w:tcPr>
            <w:tcW w:w="5095" w:type="dxa"/>
            <w:tcBorders>
              <w:top w:val="nil"/>
              <w:left w:val="single" w:color="000000" w:sz="4" w:space="0"/>
              <w:bottom w:val="single" w:color="000000" w:sz="4" w:space="0"/>
              <w:right w:val="single" w:color="000000" w:sz="4" w:space="0"/>
            </w:tcBorders>
            <w:noWrap w:val="0"/>
            <w:vAlign w:val="top"/>
          </w:tcPr>
          <w:p w14:paraId="7BCB1B98">
            <w:pPr>
              <w:jc w:val="center"/>
              <w:rPr>
                <w:rFonts w:hint="eastAsia" w:ascii="宋体" w:hAnsi="宋体" w:eastAsia="宋体" w:cs="宋体"/>
                <w:color w:val="auto"/>
                <w:highlight w:val="none"/>
              </w:rPr>
            </w:pPr>
            <w:r>
              <w:rPr>
                <w:rFonts w:hint="eastAsia" w:ascii="宋体" w:hAnsi="宋体" w:eastAsia="宋体" w:cs="宋体"/>
                <w:color w:val="auto"/>
                <w:sz w:val="24"/>
                <w:highlight w:val="none"/>
              </w:rPr>
              <w:t>抗滑值/（BPN，20℃）：田径场地</w:t>
            </w:r>
          </w:p>
        </w:tc>
        <w:tc>
          <w:tcPr>
            <w:tcW w:w="1910" w:type="dxa"/>
            <w:tcBorders>
              <w:top w:val="nil"/>
              <w:left w:val="single" w:color="000000" w:sz="4" w:space="0"/>
              <w:bottom w:val="single" w:color="000000" w:sz="4" w:space="0"/>
              <w:right w:val="single" w:color="000000" w:sz="4" w:space="0"/>
            </w:tcBorders>
            <w:noWrap w:val="0"/>
            <w:vAlign w:val="top"/>
          </w:tcPr>
          <w:p w14:paraId="7F11F7D6">
            <w:pPr>
              <w:ind w:firstLine="480"/>
              <w:jc w:val="center"/>
              <w:rPr>
                <w:rFonts w:hint="eastAsia" w:ascii="宋体" w:hAnsi="宋体" w:eastAsia="宋体" w:cs="宋体"/>
                <w:color w:val="auto"/>
                <w:highlight w:val="none"/>
              </w:rPr>
            </w:pPr>
            <w:r>
              <w:rPr>
                <w:rFonts w:hint="eastAsia" w:ascii="宋体" w:hAnsi="宋体" w:eastAsia="宋体" w:cs="宋体"/>
                <w:color w:val="auto"/>
                <w:sz w:val="24"/>
                <w:highlight w:val="none"/>
              </w:rPr>
              <w:t>≥47（湿测）</w:t>
            </w:r>
          </w:p>
        </w:tc>
      </w:tr>
      <w:tr w14:paraId="5AA1B25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286" w:type="dxa"/>
            <w:vMerge w:val="continue"/>
            <w:tcBorders>
              <w:top w:val="nil"/>
              <w:left w:val="single" w:color="000000" w:sz="4" w:space="0"/>
              <w:bottom w:val="single" w:color="000000" w:sz="4" w:space="0"/>
              <w:right w:val="single" w:color="000000" w:sz="4" w:space="0"/>
            </w:tcBorders>
            <w:noWrap w:val="0"/>
            <w:vAlign w:val="top"/>
          </w:tcPr>
          <w:p w14:paraId="26A5B85C">
            <w:pPr>
              <w:rPr>
                <w:rFonts w:hint="eastAsia" w:ascii="宋体" w:hAnsi="宋体" w:eastAsia="宋体" w:cs="宋体"/>
                <w:color w:val="auto"/>
                <w:highlight w:val="none"/>
              </w:rPr>
            </w:pPr>
          </w:p>
        </w:tc>
        <w:tc>
          <w:tcPr>
            <w:tcW w:w="5095" w:type="dxa"/>
            <w:tcBorders>
              <w:top w:val="nil"/>
              <w:left w:val="single" w:color="000000" w:sz="4" w:space="0"/>
              <w:bottom w:val="single" w:color="000000" w:sz="4" w:space="0"/>
              <w:right w:val="single" w:color="000000" w:sz="4" w:space="0"/>
            </w:tcBorders>
            <w:noWrap w:val="0"/>
            <w:vAlign w:val="top"/>
          </w:tcPr>
          <w:p w14:paraId="6F7F303E">
            <w:pPr>
              <w:ind w:firstLine="480"/>
              <w:jc w:val="center"/>
              <w:rPr>
                <w:rFonts w:hint="eastAsia" w:ascii="宋体" w:hAnsi="宋体" w:eastAsia="宋体" w:cs="宋体"/>
                <w:color w:val="auto"/>
                <w:highlight w:val="none"/>
              </w:rPr>
            </w:pPr>
            <w:r>
              <w:rPr>
                <w:rFonts w:hint="eastAsia" w:ascii="宋体" w:hAnsi="宋体" w:eastAsia="宋体" w:cs="宋体"/>
                <w:color w:val="auto"/>
                <w:sz w:val="24"/>
                <w:highlight w:val="none"/>
              </w:rPr>
              <w:t>拉伸强度/（MPa）：</w:t>
            </w:r>
          </w:p>
        </w:tc>
        <w:tc>
          <w:tcPr>
            <w:tcW w:w="1910" w:type="dxa"/>
            <w:tcBorders>
              <w:top w:val="nil"/>
              <w:left w:val="single" w:color="000000" w:sz="4" w:space="0"/>
              <w:bottom w:val="single" w:color="000000" w:sz="4" w:space="0"/>
              <w:right w:val="single" w:color="000000" w:sz="4" w:space="0"/>
            </w:tcBorders>
            <w:noWrap w:val="0"/>
            <w:vAlign w:val="top"/>
          </w:tcPr>
          <w:p w14:paraId="43AF0E9B">
            <w:pPr>
              <w:jc w:val="center"/>
              <w:rPr>
                <w:rFonts w:hint="eastAsia" w:ascii="宋体" w:hAnsi="宋体" w:eastAsia="宋体" w:cs="宋体"/>
                <w:color w:val="auto"/>
                <w:highlight w:val="none"/>
              </w:rPr>
            </w:pPr>
            <w:r>
              <w:rPr>
                <w:rFonts w:hint="eastAsia" w:ascii="宋体" w:hAnsi="宋体" w:eastAsia="宋体" w:cs="宋体"/>
                <w:color w:val="auto"/>
                <w:sz w:val="24"/>
                <w:highlight w:val="none"/>
              </w:rPr>
              <w:t>≥0.5</w:t>
            </w:r>
          </w:p>
        </w:tc>
      </w:tr>
      <w:tr w14:paraId="4E59232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286" w:type="dxa"/>
            <w:vMerge w:val="continue"/>
            <w:tcBorders>
              <w:top w:val="nil"/>
              <w:left w:val="single" w:color="000000" w:sz="4" w:space="0"/>
              <w:bottom w:val="single" w:color="000000" w:sz="4" w:space="0"/>
              <w:right w:val="single" w:color="000000" w:sz="4" w:space="0"/>
            </w:tcBorders>
            <w:noWrap w:val="0"/>
            <w:vAlign w:val="top"/>
          </w:tcPr>
          <w:p w14:paraId="2E598D91">
            <w:pPr>
              <w:rPr>
                <w:rFonts w:hint="eastAsia" w:ascii="宋体" w:hAnsi="宋体" w:eastAsia="宋体" w:cs="宋体"/>
                <w:color w:val="auto"/>
                <w:highlight w:val="none"/>
              </w:rPr>
            </w:pPr>
          </w:p>
        </w:tc>
        <w:tc>
          <w:tcPr>
            <w:tcW w:w="5095" w:type="dxa"/>
            <w:tcBorders>
              <w:top w:val="nil"/>
              <w:left w:val="single" w:color="000000" w:sz="4" w:space="0"/>
              <w:bottom w:val="single" w:color="000000" w:sz="4" w:space="0"/>
              <w:right w:val="single" w:color="000000" w:sz="4" w:space="0"/>
            </w:tcBorders>
            <w:noWrap w:val="0"/>
            <w:vAlign w:val="top"/>
          </w:tcPr>
          <w:p w14:paraId="4A999DF3">
            <w:pPr>
              <w:ind w:firstLine="48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拉断伸长率/（%）</w:t>
            </w:r>
          </w:p>
        </w:tc>
        <w:tc>
          <w:tcPr>
            <w:tcW w:w="1910" w:type="dxa"/>
            <w:tcBorders>
              <w:top w:val="nil"/>
              <w:left w:val="single" w:color="000000" w:sz="4" w:space="0"/>
              <w:bottom w:val="single" w:color="000000" w:sz="4" w:space="0"/>
              <w:right w:val="single" w:color="000000" w:sz="4" w:space="0"/>
            </w:tcBorders>
            <w:noWrap w:val="0"/>
            <w:vAlign w:val="top"/>
          </w:tcPr>
          <w:p w14:paraId="1A4E9534">
            <w:pPr>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≥40</w:t>
            </w:r>
          </w:p>
        </w:tc>
      </w:tr>
      <w:tr w14:paraId="6A5C4D3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286" w:type="dxa"/>
            <w:vMerge w:val="continue"/>
            <w:tcBorders>
              <w:top w:val="nil"/>
              <w:left w:val="single" w:color="000000" w:sz="4" w:space="0"/>
              <w:bottom w:val="single" w:color="000000" w:sz="4" w:space="0"/>
              <w:right w:val="single" w:color="000000" w:sz="4" w:space="0"/>
            </w:tcBorders>
            <w:noWrap w:val="0"/>
            <w:vAlign w:val="top"/>
          </w:tcPr>
          <w:p w14:paraId="443C2B99">
            <w:pPr>
              <w:rPr>
                <w:rFonts w:hint="eastAsia" w:ascii="宋体" w:hAnsi="宋体" w:eastAsia="宋体" w:cs="宋体"/>
                <w:color w:val="auto"/>
                <w:highlight w:val="none"/>
              </w:rPr>
            </w:pPr>
          </w:p>
        </w:tc>
        <w:tc>
          <w:tcPr>
            <w:tcW w:w="5095" w:type="dxa"/>
            <w:tcBorders>
              <w:top w:val="nil"/>
              <w:left w:val="single" w:color="000000" w:sz="4" w:space="0"/>
              <w:bottom w:val="single" w:color="000000" w:sz="4" w:space="0"/>
              <w:right w:val="single" w:color="000000" w:sz="4" w:space="0"/>
            </w:tcBorders>
            <w:noWrap w:val="0"/>
            <w:vAlign w:val="top"/>
          </w:tcPr>
          <w:p w14:paraId="60C012FF">
            <w:pPr>
              <w:ind w:firstLine="48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阻燃性能/（级）</w:t>
            </w:r>
          </w:p>
        </w:tc>
        <w:tc>
          <w:tcPr>
            <w:tcW w:w="1910" w:type="dxa"/>
            <w:tcBorders>
              <w:top w:val="nil"/>
              <w:left w:val="single" w:color="000000" w:sz="4" w:space="0"/>
              <w:bottom w:val="single" w:color="000000" w:sz="4" w:space="0"/>
              <w:right w:val="single" w:color="000000" w:sz="4" w:space="0"/>
            </w:tcBorders>
            <w:noWrap w:val="0"/>
            <w:vAlign w:val="top"/>
          </w:tcPr>
          <w:p w14:paraId="3C7BC9C9">
            <w:pPr>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Ⅰ</w:t>
            </w:r>
          </w:p>
        </w:tc>
      </w:tr>
    </w:tbl>
    <w:p w14:paraId="1C3A66A7">
      <w:pPr>
        <w:numPr>
          <w:ilvl w:val="0"/>
          <w:numId w:val="0"/>
        </w:numPr>
        <w:spacing w:line="360" w:lineRule="auto"/>
        <w:ind w:left="400" w:leftChars="0"/>
        <w:jc w:val="left"/>
        <w:rPr>
          <w:rFonts w:hint="eastAsia" w:ascii="宋体" w:hAnsi="宋体" w:eastAsia="宋体" w:cs="宋体"/>
          <w:color w:val="auto"/>
          <w:sz w:val="21"/>
          <w:szCs w:val="21"/>
          <w:highlight w:val="none"/>
        </w:rPr>
      </w:pPr>
    </w:p>
    <w:p w14:paraId="1C5893A4">
      <w:pPr>
        <w:pStyle w:val="8"/>
        <w:numPr>
          <w:ilvl w:val="0"/>
          <w:numId w:val="1"/>
        </w:numPr>
        <w:spacing w:line="360" w:lineRule="auto"/>
        <w:ind w:left="-420" w:leftChars="0" w:firstLine="420" w:firstLineChars="0"/>
        <w:outlineLvl w:val="2"/>
        <w:rPr>
          <w:rFonts w:hint="eastAsia" w:ascii="宋体" w:hAnsi="宋体" w:eastAsia="宋体" w:cs="宋体"/>
          <w:b/>
          <w:color w:val="auto"/>
          <w:kern w:val="2"/>
          <w:sz w:val="30"/>
          <w:szCs w:val="30"/>
          <w:highlight w:val="none"/>
          <w:lang w:val="en-US" w:eastAsia="zh-CN" w:bidi="ar-SA"/>
        </w:rPr>
      </w:pPr>
      <w:r>
        <w:rPr>
          <w:rFonts w:hint="eastAsia" w:ascii="宋体" w:hAnsi="宋体" w:eastAsia="宋体" w:cs="宋体"/>
          <w:b/>
          <w:color w:val="auto"/>
          <w:kern w:val="2"/>
          <w:sz w:val="30"/>
          <w:szCs w:val="30"/>
          <w:highlight w:val="none"/>
          <w:lang w:val="en-US" w:eastAsia="zh-CN" w:bidi="ar-SA"/>
        </w:rPr>
        <w:t>人造草皮要求及施工注意事项</w:t>
      </w:r>
    </w:p>
    <w:p w14:paraId="739369BA">
      <w:pPr>
        <w:pStyle w:val="8"/>
        <w:numPr>
          <w:ilvl w:val="0"/>
          <w:numId w:val="6"/>
        </w:numPr>
        <w:spacing w:line="360" w:lineRule="auto"/>
        <w:ind w:left="0" w:leftChars="0" w:firstLine="400" w:firstLineChars="0"/>
        <w:outlineLvl w:val="2"/>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人造草面层成品</w:t>
      </w:r>
      <w:r>
        <w:rPr>
          <w:rFonts w:hint="eastAsia" w:ascii="宋体" w:hAnsi="宋体" w:eastAsia="宋体" w:cs="宋体"/>
          <w:color w:val="auto"/>
          <w:sz w:val="21"/>
          <w:szCs w:val="21"/>
          <w:highlight w:val="none"/>
        </w:rPr>
        <w:t>有害物质限量要求</w:t>
      </w:r>
      <w:r>
        <w:rPr>
          <w:rFonts w:hint="eastAsia" w:ascii="宋体" w:hAnsi="宋体" w:eastAsia="宋体" w:cs="宋体"/>
          <w:color w:val="auto"/>
          <w:sz w:val="21"/>
          <w:szCs w:val="21"/>
          <w:highlight w:val="none"/>
          <w:lang w:val="en-US" w:eastAsia="zh-CN"/>
        </w:rPr>
        <w:t>和物理性能，应</w:t>
      </w:r>
      <w:r>
        <w:rPr>
          <w:rFonts w:hint="eastAsia" w:ascii="宋体" w:hAnsi="宋体" w:eastAsia="宋体" w:cs="宋体"/>
          <w:color w:val="auto"/>
          <w:sz w:val="21"/>
          <w:szCs w:val="21"/>
          <w:highlight w:val="none"/>
        </w:rPr>
        <w:t>符合 GB36246-2018《中小学合成材料面层运动场地》</w:t>
      </w:r>
      <w:r>
        <w:rPr>
          <w:rFonts w:hint="eastAsia" w:ascii="宋体" w:hAnsi="宋体" w:eastAsia="宋体" w:cs="宋体"/>
          <w:color w:val="auto"/>
          <w:sz w:val="21"/>
          <w:szCs w:val="21"/>
          <w:highlight w:val="none"/>
          <w:lang w:val="en-US" w:eastAsia="zh-CN"/>
        </w:rPr>
        <w:t>要求，满足本项目设计图纸要求。</w:t>
      </w:r>
    </w:p>
    <w:p w14:paraId="439B10CB">
      <w:pPr>
        <w:pStyle w:val="8"/>
        <w:numPr>
          <w:ilvl w:val="0"/>
          <w:numId w:val="6"/>
        </w:numPr>
        <w:spacing w:line="360" w:lineRule="auto"/>
        <w:ind w:left="0" w:leftChars="0" w:firstLine="400"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人造草皮铺装前</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lang w:val="en-US" w:eastAsia="zh-CN"/>
        </w:rPr>
        <w:t>成交供应商应</w:t>
      </w:r>
      <w:r>
        <w:rPr>
          <w:rFonts w:hint="eastAsia" w:ascii="宋体" w:hAnsi="宋体" w:eastAsia="宋体" w:cs="宋体"/>
          <w:b w:val="0"/>
          <w:bCs/>
          <w:color w:val="auto"/>
          <w:sz w:val="21"/>
          <w:szCs w:val="21"/>
          <w:highlight w:val="none"/>
        </w:rPr>
        <w:t>先检查并验收基础工程</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确保基础场地清洁度</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若有杂物</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彻底清理</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确保施工场地的清洁。</w:t>
      </w:r>
    </w:p>
    <w:p w14:paraId="34AD297D">
      <w:pPr>
        <w:pStyle w:val="8"/>
        <w:numPr>
          <w:ilvl w:val="0"/>
          <w:numId w:val="6"/>
        </w:numPr>
        <w:spacing w:line="360" w:lineRule="auto"/>
        <w:ind w:left="0" w:leftChars="0" w:firstLine="400"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使用测量工具(如钢尺卷)精准测量场地尺寸</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将误差控制在可容许范围内</w:t>
      </w:r>
      <w:r>
        <w:rPr>
          <w:rFonts w:hint="eastAsia" w:ascii="宋体" w:hAnsi="宋体" w:eastAsia="宋体" w:cs="宋体"/>
          <w:b w:val="0"/>
          <w:bCs/>
          <w:color w:val="auto"/>
          <w:sz w:val="21"/>
          <w:szCs w:val="21"/>
          <w:highlight w:val="none"/>
          <w:lang w:val="en-US" w:eastAsia="zh-CN"/>
        </w:rPr>
        <w:t>;</w:t>
      </w:r>
      <w:r>
        <w:rPr>
          <w:rFonts w:hint="eastAsia" w:ascii="宋体" w:hAnsi="宋体" w:eastAsia="宋体" w:cs="宋体"/>
          <w:b w:val="0"/>
          <w:bCs/>
          <w:color w:val="auto"/>
          <w:sz w:val="21"/>
          <w:szCs w:val="21"/>
          <w:highlight w:val="none"/>
        </w:rPr>
        <w:t>若是尺寸不合</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则进行修改。场地测量精准或图纸样式完善后将原卷好的人造草坪铺放整齐</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不能保持原卷装形态</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一定要平铺放好。</w:t>
      </w:r>
    </w:p>
    <w:p w14:paraId="7A1D37D8">
      <w:pPr>
        <w:pStyle w:val="8"/>
        <w:numPr>
          <w:ilvl w:val="0"/>
          <w:numId w:val="6"/>
        </w:numPr>
        <w:spacing w:line="360" w:lineRule="auto"/>
        <w:ind w:left="0" w:leftChars="0" w:firstLine="400"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人造草皮粘接前需先修边、将草皮两边修正干净,不可有</w:t>
      </w:r>
      <w:r>
        <w:rPr>
          <w:rFonts w:hint="eastAsia" w:ascii="宋体" w:hAnsi="宋体" w:eastAsia="宋体" w:cs="宋体"/>
          <w:b w:val="0"/>
          <w:bCs/>
          <w:color w:val="auto"/>
          <w:sz w:val="21"/>
          <w:szCs w:val="21"/>
          <w:highlight w:val="none"/>
          <w:lang w:eastAsia="zh-CN"/>
        </w:rPr>
        <w:t>粗</w:t>
      </w:r>
      <w:r>
        <w:rPr>
          <w:rFonts w:hint="eastAsia" w:ascii="宋体" w:hAnsi="宋体" w:eastAsia="宋体" w:cs="宋体"/>
          <w:b w:val="0"/>
          <w:bCs/>
          <w:color w:val="auto"/>
          <w:sz w:val="21"/>
          <w:szCs w:val="21"/>
          <w:highlight w:val="none"/>
        </w:rPr>
        <w:t>糙面,确保光滑</w:t>
      </w:r>
      <w:r>
        <w:rPr>
          <w:rFonts w:hint="eastAsia" w:ascii="宋体" w:hAnsi="宋体" w:eastAsia="宋体" w:cs="宋体"/>
          <w:b w:val="0"/>
          <w:bCs/>
          <w:color w:val="auto"/>
          <w:sz w:val="21"/>
          <w:szCs w:val="21"/>
          <w:highlight w:val="none"/>
          <w:lang w:val="en-US" w:eastAsia="zh-CN"/>
        </w:rPr>
        <w:t>；</w:t>
      </w:r>
      <w:r>
        <w:rPr>
          <w:rFonts w:hint="eastAsia" w:ascii="宋体" w:hAnsi="宋体" w:eastAsia="宋体" w:cs="宋体"/>
          <w:b w:val="0"/>
          <w:bCs/>
          <w:color w:val="auto"/>
          <w:sz w:val="21"/>
          <w:szCs w:val="21"/>
          <w:highlight w:val="none"/>
        </w:rPr>
        <w:t>然后用涂胶刷在草皮底部涂胶</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需控制胶水厚度</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涂胶时要均匀</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不可反复涂刷</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以免出现脱落现象</w:t>
      </w:r>
      <w:r>
        <w:rPr>
          <w:rFonts w:hint="eastAsia" w:ascii="宋体" w:hAnsi="宋体" w:eastAsia="宋体" w:cs="宋体"/>
          <w:b w:val="0"/>
          <w:bCs/>
          <w:color w:val="auto"/>
          <w:sz w:val="21"/>
          <w:szCs w:val="21"/>
          <w:highlight w:val="none"/>
          <w:lang w:val="en-US" w:eastAsia="zh-CN"/>
        </w:rPr>
        <w:t>；</w:t>
      </w:r>
      <w:r>
        <w:rPr>
          <w:rFonts w:hint="eastAsia" w:ascii="宋体" w:hAnsi="宋体" w:eastAsia="宋体" w:cs="宋体"/>
          <w:b w:val="0"/>
          <w:bCs/>
          <w:color w:val="auto"/>
          <w:sz w:val="21"/>
          <w:szCs w:val="21"/>
          <w:highlight w:val="none"/>
        </w:rPr>
        <w:t>粘合要在温度与湿度等条件达标时进行粘接</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rPr>
        <w:t>粘接时要对准,不可有错位现象。</w:t>
      </w:r>
    </w:p>
    <w:p w14:paraId="3A564292">
      <w:pPr>
        <w:pStyle w:val="8"/>
        <w:numPr>
          <w:ilvl w:val="0"/>
          <w:numId w:val="6"/>
        </w:numPr>
        <w:spacing w:line="360" w:lineRule="auto"/>
        <w:ind w:left="0" w:leftChars="0" w:firstLine="400"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注意加压和固化,使用专用橡皮锤向粘结处捶打,使其牢固,固化时间一般为3天。人造草皮的施工环境温度控制在0-40为宜,禁止在雨雪天气施工</w:t>
      </w:r>
      <w:r>
        <w:rPr>
          <w:rFonts w:hint="eastAsia" w:ascii="宋体" w:hAnsi="宋体" w:eastAsia="宋体" w:cs="宋体"/>
          <w:b w:val="0"/>
          <w:bCs/>
          <w:color w:val="auto"/>
          <w:sz w:val="21"/>
          <w:szCs w:val="21"/>
          <w:highlight w:val="none"/>
          <w:lang w:val="en-US" w:eastAsia="zh-CN"/>
        </w:rPr>
        <w:t>;</w:t>
      </w:r>
      <w:r>
        <w:rPr>
          <w:rFonts w:hint="eastAsia" w:ascii="宋体" w:hAnsi="宋体" w:eastAsia="宋体" w:cs="宋体"/>
          <w:b w:val="0"/>
          <w:bCs/>
          <w:color w:val="auto"/>
          <w:sz w:val="21"/>
          <w:szCs w:val="21"/>
          <w:highlight w:val="none"/>
        </w:rPr>
        <w:t>涂胶粘合</w:t>
      </w:r>
      <w:r>
        <w:rPr>
          <w:rFonts w:hint="eastAsia" w:ascii="宋体" w:hAnsi="宋体" w:eastAsia="宋体" w:cs="宋体"/>
          <w:b w:val="0"/>
          <w:bCs/>
          <w:color w:val="auto"/>
          <w:sz w:val="21"/>
          <w:szCs w:val="21"/>
          <w:highlight w:val="none"/>
          <w:lang w:eastAsia="zh-CN"/>
        </w:rPr>
        <w:t>干</w:t>
      </w:r>
      <w:r>
        <w:rPr>
          <w:rFonts w:hint="eastAsia" w:ascii="宋体" w:hAnsi="宋体" w:eastAsia="宋体" w:cs="宋体"/>
          <w:b w:val="0"/>
          <w:bCs/>
          <w:color w:val="auto"/>
          <w:sz w:val="21"/>
          <w:szCs w:val="21"/>
          <w:highlight w:val="none"/>
        </w:rPr>
        <w:t>燥时间控制在10--15分钟为宜</w:t>
      </w:r>
      <w:r>
        <w:rPr>
          <w:rFonts w:hint="eastAsia" w:ascii="宋体" w:hAnsi="宋体" w:eastAsia="宋体" w:cs="宋体"/>
          <w:b w:val="0"/>
          <w:bCs/>
          <w:color w:val="auto"/>
          <w:sz w:val="21"/>
          <w:szCs w:val="21"/>
          <w:highlight w:val="none"/>
          <w:lang w:val="en-US" w:eastAsia="zh-CN"/>
        </w:rPr>
        <w:t>;</w:t>
      </w:r>
      <w:r>
        <w:rPr>
          <w:rFonts w:hint="eastAsia" w:ascii="宋体" w:hAnsi="宋体" w:eastAsia="宋体" w:cs="宋体"/>
          <w:b w:val="0"/>
          <w:bCs/>
          <w:color w:val="auto"/>
          <w:sz w:val="21"/>
          <w:szCs w:val="21"/>
          <w:highlight w:val="none"/>
        </w:rPr>
        <w:t>草坪在固化期间</w:t>
      </w:r>
      <w:r>
        <w:rPr>
          <w:rFonts w:hint="eastAsia" w:ascii="宋体" w:hAnsi="宋体" w:eastAsia="宋体" w:cs="宋体"/>
          <w:b w:val="0"/>
          <w:bCs/>
          <w:color w:val="auto"/>
          <w:sz w:val="21"/>
          <w:szCs w:val="21"/>
          <w:highlight w:val="none"/>
          <w:lang w:eastAsia="zh-CN"/>
        </w:rPr>
        <w:t>需</w:t>
      </w:r>
      <w:r>
        <w:rPr>
          <w:rFonts w:hint="eastAsia" w:ascii="宋体" w:hAnsi="宋体" w:eastAsia="宋体" w:cs="宋体"/>
          <w:b w:val="0"/>
          <w:bCs/>
          <w:color w:val="auto"/>
          <w:sz w:val="21"/>
          <w:szCs w:val="21"/>
          <w:highlight w:val="none"/>
        </w:rPr>
        <w:t>对其进行维护,以免曝晒、水浸和移动现象,确保草坪粘接达到最佳状态。</w:t>
      </w:r>
    </w:p>
    <w:p w14:paraId="680B5454">
      <w:pPr>
        <w:pStyle w:val="8"/>
        <w:numPr>
          <w:ilvl w:val="0"/>
          <w:numId w:val="6"/>
        </w:numPr>
        <w:spacing w:line="360" w:lineRule="auto"/>
        <w:ind w:left="0" w:leftChars="0" w:firstLine="400"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石英砂铺装工艺流程:石英砂灌沙高度为草坪剩余高度10mm以内,铺撒速度要均匀,石英砂铺设用积分法理念铺装,在铺设时需保证平整度和控制石英砂填充量:橡胶颗粒注入同石英砂注入操作。</w:t>
      </w:r>
    </w:p>
    <w:p w14:paraId="36BCACDD">
      <w:pPr>
        <w:pStyle w:val="8"/>
        <w:numPr>
          <w:ilvl w:val="0"/>
          <w:numId w:val="6"/>
        </w:numPr>
        <w:spacing w:line="360" w:lineRule="auto"/>
        <w:ind w:left="0" w:leftChars="0" w:firstLine="400"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lang w:val="en-US" w:eastAsia="zh-CN"/>
        </w:rPr>
        <w:t>人造草面层成品中有害物质限量要求</w:t>
      </w:r>
    </w:p>
    <w:tbl>
      <w:tblPr>
        <w:tblStyle w:val="6"/>
        <w:tblW w:w="0" w:type="auto"/>
        <w:tblInd w:w="12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891"/>
        <w:gridCol w:w="5758"/>
        <w:gridCol w:w="1643"/>
      </w:tblGrid>
      <w:tr w14:paraId="5E2A19D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649" w:type="dxa"/>
            <w:gridSpan w:val="2"/>
            <w:tcBorders>
              <w:top w:val="single" w:color="000000" w:sz="4" w:space="0"/>
              <w:left w:val="single" w:color="000000" w:sz="4" w:space="0"/>
              <w:bottom w:val="single" w:color="000000" w:sz="4" w:space="0"/>
              <w:right w:val="single" w:color="000000" w:sz="4" w:space="0"/>
            </w:tcBorders>
            <w:noWrap w:val="0"/>
            <w:vAlign w:val="top"/>
          </w:tcPr>
          <w:p w14:paraId="234030E2">
            <w:pPr>
              <w:ind w:firstLine="480"/>
              <w:jc w:val="center"/>
              <w:rPr>
                <w:rFonts w:hint="eastAsia" w:ascii="宋体" w:hAnsi="宋体" w:eastAsia="宋体" w:cs="宋体"/>
                <w:color w:val="auto"/>
                <w:highlight w:val="none"/>
              </w:rPr>
            </w:pPr>
            <w:r>
              <w:rPr>
                <w:rFonts w:hint="eastAsia" w:ascii="宋体" w:hAnsi="宋体" w:eastAsia="宋体" w:cs="宋体"/>
                <w:color w:val="auto"/>
                <w:sz w:val="24"/>
                <w:highlight w:val="none"/>
              </w:rPr>
              <w:t>检测项目</w:t>
            </w:r>
          </w:p>
        </w:tc>
        <w:tc>
          <w:tcPr>
            <w:tcW w:w="1643" w:type="dxa"/>
            <w:tcBorders>
              <w:top w:val="single" w:color="000000" w:sz="4" w:space="0"/>
              <w:left w:val="single" w:color="000000" w:sz="4" w:space="0"/>
              <w:bottom w:val="single" w:color="000000" w:sz="4" w:space="0"/>
              <w:right w:val="single" w:color="000000" w:sz="4" w:space="0"/>
            </w:tcBorders>
            <w:noWrap w:val="0"/>
            <w:vAlign w:val="top"/>
          </w:tcPr>
          <w:p w14:paraId="6323CDDB">
            <w:pPr>
              <w:jc w:val="center"/>
              <w:rPr>
                <w:rFonts w:hint="eastAsia" w:ascii="宋体" w:hAnsi="宋体" w:eastAsia="宋体" w:cs="宋体"/>
                <w:color w:val="auto"/>
                <w:highlight w:val="none"/>
              </w:rPr>
            </w:pPr>
            <w:r>
              <w:rPr>
                <w:rFonts w:hint="eastAsia" w:ascii="宋体" w:hAnsi="宋体" w:eastAsia="宋体" w:cs="宋体"/>
                <w:color w:val="auto"/>
                <w:sz w:val="24"/>
                <w:highlight w:val="none"/>
              </w:rPr>
              <w:t>技术要求</w:t>
            </w:r>
          </w:p>
        </w:tc>
      </w:tr>
      <w:tr w14:paraId="3C63EFC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restart"/>
            <w:tcBorders>
              <w:top w:val="nil"/>
              <w:left w:val="single" w:color="000000" w:sz="4" w:space="0"/>
              <w:bottom w:val="single" w:color="000000" w:sz="4" w:space="0"/>
              <w:right w:val="single" w:color="000000" w:sz="4" w:space="0"/>
            </w:tcBorders>
            <w:noWrap w:val="0"/>
            <w:vAlign w:val="top"/>
          </w:tcPr>
          <w:p w14:paraId="7828E273">
            <w:pPr>
              <w:jc w:val="center"/>
              <w:rPr>
                <w:rFonts w:hint="eastAsia" w:ascii="宋体" w:hAnsi="宋体" w:eastAsia="宋体" w:cs="宋体"/>
                <w:color w:val="auto"/>
                <w:highlight w:val="none"/>
              </w:rPr>
            </w:pPr>
            <w:r>
              <w:rPr>
                <w:rFonts w:hint="eastAsia" w:ascii="宋体" w:hAnsi="宋体" w:eastAsia="宋体" w:cs="宋体"/>
                <w:color w:val="auto"/>
                <w:sz w:val="24"/>
                <w:highlight w:val="none"/>
              </w:rPr>
              <w:t>有害物质含量</w:t>
            </w:r>
          </w:p>
        </w:tc>
        <w:tc>
          <w:tcPr>
            <w:tcW w:w="5758" w:type="dxa"/>
            <w:tcBorders>
              <w:top w:val="nil"/>
              <w:left w:val="single" w:color="000000" w:sz="4" w:space="0"/>
              <w:bottom w:val="single" w:color="000000" w:sz="4" w:space="0"/>
              <w:right w:val="single" w:color="000000" w:sz="4" w:space="0"/>
            </w:tcBorders>
            <w:noWrap w:val="0"/>
            <w:vAlign w:val="top"/>
          </w:tcPr>
          <w:p w14:paraId="48940D76">
            <w:pPr>
              <w:rPr>
                <w:rFonts w:hint="eastAsia" w:ascii="宋体" w:hAnsi="宋体" w:eastAsia="宋体" w:cs="宋体"/>
                <w:color w:val="auto"/>
                <w:highlight w:val="none"/>
              </w:rPr>
            </w:pPr>
            <w:r>
              <w:rPr>
                <w:rFonts w:hint="eastAsia" w:ascii="宋体" w:hAnsi="宋体" w:eastAsia="宋体" w:cs="宋体"/>
                <w:color w:val="auto"/>
                <w:sz w:val="24"/>
                <w:highlight w:val="none"/>
              </w:rPr>
              <w:t xml:space="preserve">3 种邻苯二甲酸酯类化合物（DBP、BBP、DEHP）总和 </w:t>
            </w:r>
            <w:r>
              <w:rPr>
                <w:rFonts w:hint="eastAsia" w:ascii="宋体" w:hAnsi="宋体" w:eastAsia="宋体" w:cs="宋体"/>
                <w:color w:val="auto"/>
                <w:sz w:val="24"/>
                <w:highlight w:val="none"/>
                <w:vertAlign w:val="superscript"/>
              </w:rPr>
              <w:t>a</w:t>
            </w:r>
            <w:r>
              <w:rPr>
                <w:rFonts w:hint="eastAsia" w:ascii="宋体" w:hAnsi="宋体" w:eastAsia="宋体" w:cs="宋体"/>
                <w:color w:val="auto"/>
                <w:sz w:val="24"/>
                <w:highlight w:val="none"/>
              </w:rPr>
              <w:t>/（g/kg）</w:t>
            </w:r>
          </w:p>
        </w:tc>
        <w:tc>
          <w:tcPr>
            <w:tcW w:w="1643" w:type="dxa"/>
            <w:tcBorders>
              <w:top w:val="single" w:color="000000" w:sz="4" w:space="0"/>
              <w:left w:val="single" w:color="000000" w:sz="4" w:space="0"/>
              <w:bottom w:val="single" w:color="000000" w:sz="4" w:space="0"/>
              <w:right w:val="single" w:color="000000" w:sz="4" w:space="0"/>
            </w:tcBorders>
            <w:noWrap w:val="0"/>
            <w:vAlign w:val="top"/>
          </w:tcPr>
          <w:p w14:paraId="03975A25">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104BBF6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06A4515A">
            <w:pPr>
              <w:rPr>
                <w:rFonts w:hint="eastAsia" w:ascii="宋体" w:hAnsi="宋体" w:eastAsia="宋体" w:cs="宋体"/>
                <w:color w:val="auto"/>
                <w:highlight w:val="none"/>
              </w:rPr>
            </w:pPr>
          </w:p>
        </w:tc>
        <w:tc>
          <w:tcPr>
            <w:tcW w:w="5758" w:type="dxa"/>
            <w:tcBorders>
              <w:top w:val="nil"/>
              <w:left w:val="single" w:color="000000" w:sz="4" w:space="0"/>
              <w:bottom w:val="single" w:color="auto" w:sz="4" w:space="0"/>
              <w:right w:val="single" w:color="000000" w:sz="4" w:space="0"/>
            </w:tcBorders>
            <w:noWrap w:val="0"/>
            <w:vAlign w:val="top"/>
          </w:tcPr>
          <w:p w14:paraId="0B166A41">
            <w:pPr>
              <w:rPr>
                <w:rFonts w:hint="eastAsia" w:ascii="宋体" w:hAnsi="宋体" w:eastAsia="宋体" w:cs="宋体"/>
                <w:color w:val="auto"/>
                <w:highlight w:val="none"/>
              </w:rPr>
            </w:pPr>
            <w:r>
              <w:rPr>
                <w:rFonts w:hint="eastAsia" w:ascii="宋体" w:hAnsi="宋体" w:eastAsia="宋体" w:cs="宋体"/>
                <w:color w:val="auto"/>
                <w:sz w:val="24"/>
                <w:highlight w:val="none"/>
              </w:rPr>
              <w:t xml:space="preserve">3 种邻苯二甲酸酯类化合物（DNOP、DINP、DIDP）总和 </w:t>
            </w:r>
            <w:r>
              <w:rPr>
                <w:rFonts w:hint="eastAsia" w:ascii="宋体" w:hAnsi="宋体" w:eastAsia="宋体" w:cs="宋体"/>
                <w:color w:val="auto"/>
                <w:sz w:val="24"/>
                <w:highlight w:val="none"/>
                <w:vertAlign w:val="superscript"/>
              </w:rPr>
              <w:t>a</w:t>
            </w:r>
            <w:r>
              <w:rPr>
                <w:rFonts w:hint="eastAsia" w:ascii="宋体" w:hAnsi="宋体" w:eastAsia="宋体" w:cs="宋体"/>
                <w:color w:val="auto"/>
                <w:sz w:val="24"/>
                <w:highlight w:val="none"/>
              </w:rPr>
              <w:t>/（g/kg）</w:t>
            </w:r>
          </w:p>
        </w:tc>
        <w:tc>
          <w:tcPr>
            <w:tcW w:w="1643" w:type="dxa"/>
            <w:tcBorders>
              <w:top w:val="nil"/>
              <w:left w:val="single" w:color="000000" w:sz="4" w:space="0"/>
              <w:bottom w:val="single" w:color="auto" w:sz="4" w:space="0"/>
              <w:right w:val="single" w:color="000000" w:sz="4" w:space="0"/>
            </w:tcBorders>
            <w:noWrap w:val="0"/>
            <w:vAlign w:val="top"/>
          </w:tcPr>
          <w:p w14:paraId="07FA405E">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41786EF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419" w:hRule="atLeast"/>
        </w:trPr>
        <w:tc>
          <w:tcPr>
            <w:tcW w:w="891" w:type="dxa"/>
            <w:vMerge w:val="continue"/>
            <w:tcBorders>
              <w:top w:val="nil"/>
              <w:left w:val="single" w:color="000000" w:sz="4" w:space="0"/>
              <w:bottom w:val="single" w:color="000000" w:sz="4" w:space="0"/>
              <w:right w:val="single" w:color="auto" w:sz="4" w:space="0"/>
            </w:tcBorders>
            <w:noWrap w:val="0"/>
            <w:vAlign w:val="top"/>
          </w:tcPr>
          <w:p w14:paraId="4727A6C2">
            <w:pPr>
              <w:rPr>
                <w:rFonts w:hint="eastAsia" w:ascii="宋体" w:hAnsi="宋体" w:eastAsia="宋体" w:cs="宋体"/>
                <w:color w:val="auto"/>
                <w:highlight w:val="none"/>
              </w:rPr>
            </w:pPr>
          </w:p>
        </w:tc>
        <w:tc>
          <w:tcPr>
            <w:tcW w:w="5758" w:type="dxa"/>
            <w:tcBorders>
              <w:top w:val="single" w:color="auto" w:sz="4" w:space="0"/>
              <w:left w:val="single" w:color="auto" w:sz="4" w:space="0"/>
              <w:bottom w:val="single" w:color="auto" w:sz="4" w:space="0"/>
              <w:right w:val="single" w:color="auto" w:sz="4" w:space="0"/>
            </w:tcBorders>
            <w:noWrap w:val="0"/>
            <w:vAlign w:val="top"/>
          </w:tcPr>
          <w:p w14:paraId="3805BF71">
            <w:pPr>
              <w:rPr>
                <w:rFonts w:hint="eastAsia" w:ascii="宋体" w:hAnsi="宋体" w:eastAsia="宋体" w:cs="宋体"/>
                <w:color w:val="auto"/>
                <w:highlight w:val="none"/>
              </w:rPr>
            </w:pPr>
            <w:r>
              <w:rPr>
                <w:rFonts w:hint="eastAsia" w:ascii="宋体" w:hAnsi="宋体" w:eastAsia="宋体" w:cs="宋体"/>
                <w:color w:val="auto"/>
                <w:sz w:val="24"/>
                <w:highlight w:val="none"/>
              </w:rPr>
              <w:t>18 种多环芳烃总和</w:t>
            </w:r>
            <w:r>
              <w:rPr>
                <w:rFonts w:hint="eastAsia" w:ascii="宋体" w:hAnsi="宋体" w:eastAsia="宋体" w:cs="宋体"/>
                <w:color w:val="auto"/>
                <w:sz w:val="24"/>
                <w:highlight w:val="none"/>
                <w:vertAlign w:val="superscript"/>
              </w:rPr>
              <w:t xml:space="preserve"> </w:t>
            </w:r>
            <w:r>
              <w:rPr>
                <w:rFonts w:hint="eastAsia" w:ascii="宋体" w:hAnsi="宋体" w:eastAsia="宋体" w:cs="宋体"/>
                <w:color w:val="auto"/>
                <w:sz w:val="24"/>
                <w:highlight w:val="none"/>
                <w:vertAlign w:val="superscript"/>
                <w:lang w:val="en-US" w:eastAsia="zh-CN"/>
              </w:rPr>
              <w:t>b</w:t>
            </w:r>
            <w:r>
              <w:rPr>
                <w:rFonts w:hint="eastAsia" w:ascii="宋体" w:hAnsi="宋体" w:eastAsia="宋体" w:cs="宋体"/>
                <w:color w:val="auto"/>
                <w:sz w:val="24"/>
                <w:highlight w:val="none"/>
              </w:rPr>
              <w:t>/（mg/kg）</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3914D910">
            <w:pPr>
              <w:ind w:firstLine="480"/>
              <w:rPr>
                <w:rFonts w:hint="eastAsia" w:ascii="宋体" w:hAnsi="宋体" w:eastAsia="宋体" w:cs="宋体"/>
                <w:color w:val="auto"/>
                <w:sz w:val="24"/>
                <w:highlight w:val="none"/>
              </w:rPr>
            </w:pPr>
            <w:r>
              <w:rPr>
                <w:rFonts w:hint="eastAsia" w:ascii="宋体" w:hAnsi="宋体" w:eastAsia="宋体" w:cs="宋体"/>
                <w:color w:val="auto"/>
                <w:kern w:val="2"/>
                <w:sz w:val="24"/>
                <w:szCs w:val="24"/>
                <w:highlight w:val="none"/>
                <w:lang w:val="en-US" w:eastAsia="zh-CN" w:bidi="ar"/>
              </w:rPr>
              <w:t xml:space="preserve">≤50 </w:t>
            </w:r>
          </w:p>
        </w:tc>
      </w:tr>
      <w:tr w14:paraId="54C5B62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auto" w:sz="4" w:space="0"/>
            </w:tcBorders>
            <w:noWrap w:val="0"/>
            <w:vAlign w:val="top"/>
          </w:tcPr>
          <w:p w14:paraId="245CDF15">
            <w:pPr>
              <w:rPr>
                <w:rFonts w:hint="eastAsia" w:ascii="宋体" w:hAnsi="宋体" w:eastAsia="宋体" w:cs="宋体"/>
                <w:color w:val="auto"/>
                <w:highlight w:val="none"/>
              </w:rPr>
            </w:pPr>
          </w:p>
        </w:tc>
        <w:tc>
          <w:tcPr>
            <w:tcW w:w="5758" w:type="dxa"/>
            <w:tcBorders>
              <w:top w:val="single" w:color="auto" w:sz="4" w:space="0"/>
              <w:left w:val="single" w:color="auto" w:sz="4" w:space="0"/>
              <w:bottom w:val="single" w:color="auto" w:sz="4" w:space="0"/>
              <w:right w:val="single" w:color="auto" w:sz="4" w:space="0"/>
            </w:tcBorders>
            <w:noWrap w:val="0"/>
            <w:vAlign w:val="top"/>
          </w:tcPr>
          <w:p w14:paraId="4A78F553">
            <w:pPr>
              <w:rPr>
                <w:rFonts w:hint="eastAsia" w:ascii="宋体" w:hAnsi="宋体" w:eastAsia="宋体" w:cs="宋体"/>
                <w:color w:val="auto"/>
                <w:highlight w:val="none"/>
              </w:rPr>
            </w:pPr>
            <w:r>
              <w:rPr>
                <w:rFonts w:hint="eastAsia" w:ascii="宋体" w:hAnsi="宋体" w:eastAsia="宋体" w:cs="宋体"/>
                <w:color w:val="auto"/>
                <w:sz w:val="24"/>
                <w:highlight w:val="none"/>
              </w:rPr>
              <w:t>苯并[a]芘/（mg/kg）</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046734BF">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6E3F159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7FF8678B">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786DA198">
            <w:pPr>
              <w:rPr>
                <w:rFonts w:hint="eastAsia" w:ascii="宋体" w:hAnsi="宋体" w:eastAsia="宋体" w:cs="宋体"/>
                <w:color w:val="auto"/>
                <w:highlight w:val="none"/>
              </w:rPr>
            </w:pPr>
            <w:r>
              <w:rPr>
                <w:rFonts w:hint="eastAsia" w:ascii="宋体" w:hAnsi="宋体" w:eastAsia="宋体" w:cs="宋体"/>
                <w:color w:val="auto"/>
                <w:sz w:val="24"/>
                <w:highlight w:val="none"/>
              </w:rPr>
              <w:t>可溶性铅/（mg/kg）</w:t>
            </w:r>
          </w:p>
        </w:tc>
        <w:tc>
          <w:tcPr>
            <w:tcW w:w="1643" w:type="dxa"/>
            <w:tcBorders>
              <w:top w:val="nil"/>
              <w:left w:val="single" w:color="000000" w:sz="4" w:space="0"/>
              <w:bottom w:val="single" w:color="000000" w:sz="4" w:space="0"/>
              <w:right w:val="single" w:color="000000" w:sz="4" w:space="0"/>
            </w:tcBorders>
            <w:noWrap w:val="0"/>
            <w:vAlign w:val="top"/>
          </w:tcPr>
          <w:p w14:paraId="6A2CFD65">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≤50</w:t>
            </w:r>
          </w:p>
        </w:tc>
      </w:tr>
      <w:tr w14:paraId="565D189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7490F097">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6F7D599D">
            <w:pPr>
              <w:rPr>
                <w:rFonts w:hint="eastAsia" w:ascii="宋体" w:hAnsi="宋体" w:eastAsia="宋体" w:cs="宋体"/>
                <w:color w:val="auto"/>
                <w:highlight w:val="none"/>
              </w:rPr>
            </w:pPr>
            <w:r>
              <w:rPr>
                <w:rFonts w:hint="eastAsia" w:ascii="宋体" w:hAnsi="宋体" w:eastAsia="宋体" w:cs="宋体"/>
                <w:color w:val="auto"/>
                <w:sz w:val="24"/>
                <w:highlight w:val="none"/>
              </w:rPr>
              <w:t>可溶性镉/（mg/kg）</w:t>
            </w:r>
          </w:p>
        </w:tc>
        <w:tc>
          <w:tcPr>
            <w:tcW w:w="1643" w:type="dxa"/>
            <w:tcBorders>
              <w:top w:val="nil"/>
              <w:left w:val="single" w:color="000000" w:sz="4" w:space="0"/>
              <w:bottom w:val="single" w:color="000000" w:sz="4" w:space="0"/>
              <w:right w:val="single" w:color="000000" w:sz="4" w:space="0"/>
            </w:tcBorders>
            <w:noWrap w:val="0"/>
            <w:vAlign w:val="top"/>
          </w:tcPr>
          <w:p w14:paraId="1A3FBD75">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04BCA82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000000" w:sz="4" w:space="0"/>
              <w:right w:val="single" w:color="000000" w:sz="4" w:space="0"/>
            </w:tcBorders>
            <w:noWrap w:val="0"/>
            <w:vAlign w:val="top"/>
          </w:tcPr>
          <w:p w14:paraId="205CA013">
            <w:pPr>
              <w:rPr>
                <w:rFonts w:hint="eastAsia" w:ascii="宋体" w:hAnsi="宋体" w:eastAsia="宋体" w:cs="宋体"/>
                <w:color w:val="auto"/>
                <w:highlight w:val="none"/>
              </w:rPr>
            </w:pPr>
          </w:p>
        </w:tc>
        <w:tc>
          <w:tcPr>
            <w:tcW w:w="5758" w:type="dxa"/>
            <w:tcBorders>
              <w:top w:val="nil"/>
              <w:left w:val="single" w:color="000000" w:sz="4" w:space="0"/>
              <w:bottom w:val="single" w:color="000000" w:sz="4" w:space="0"/>
              <w:right w:val="single" w:color="000000" w:sz="4" w:space="0"/>
            </w:tcBorders>
            <w:noWrap w:val="0"/>
            <w:vAlign w:val="top"/>
          </w:tcPr>
          <w:p w14:paraId="6397405C">
            <w:pPr>
              <w:rPr>
                <w:rFonts w:hint="eastAsia" w:ascii="宋体" w:hAnsi="宋体" w:eastAsia="宋体" w:cs="宋体"/>
                <w:color w:val="auto"/>
                <w:highlight w:val="none"/>
              </w:rPr>
            </w:pPr>
            <w:r>
              <w:rPr>
                <w:rFonts w:hint="eastAsia" w:ascii="宋体" w:hAnsi="宋体" w:eastAsia="宋体" w:cs="宋体"/>
                <w:color w:val="auto"/>
                <w:sz w:val="24"/>
                <w:highlight w:val="none"/>
              </w:rPr>
              <w:t>可溶性铬/（mg/kg）</w:t>
            </w:r>
          </w:p>
        </w:tc>
        <w:tc>
          <w:tcPr>
            <w:tcW w:w="1643" w:type="dxa"/>
            <w:tcBorders>
              <w:top w:val="nil"/>
              <w:left w:val="single" w:color="000000" w:sz="4" w:space="0"/>
              <w:bottom w:val="single" w:color="000000" w:sz="4" w:space="0"/>
              <w:right w:val="single" w:color="000000" w:sz="4" w:space="0"/>
            </w:tcBorders>
            <w:noWrap w:val="0"/>
            <w:vAlign w:val="top"/>
          </w:tcPr>
          <w:p w14:paraId="7E0361FE">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r w14:paraId="009570A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nil"/>
              <w:left w:val="single" w:color="000000" w:sz="4" w:space="0"/>
              <w:bottom w:val="single" w:color="auto" w:sz="4" w:space="0"/>
              <w:right w:val="single" w:color="000000" w:sz="4" w:space="0"/>
            </w:tcBorders>
            <w:noWrap w:val="0"/>
            <w:vAlign w:val="top"/>
          </w:tcPr>
          <w:p w14:paraId="72E0A5F7">
            <w:pPr>
              <w:rPr>
                <w:rFonts w:hint="eastAsia" w:ascii="宋体" w:hAnsi="宋体" w:eastAsia="宋体" w:cs="宋体"/>
                <w:color w:val="auto"/>
                <w:highlight w:val="none"/>
              </w:rPr>
            </w:pPr>
          </w:p>
        </w:tc>
        <w:tc>
          <w:tcPr>
            <w:tcW w:w="5758" w:type="dxa"/>
            <w:tcBorders>
              <w:top w:val="nil"/>
              <w:left w:val="single" w:color="000000" w:sz="4" w:space="0"/>
              <w:bottom w:val="single" w:color="auto" w:sz="4" w:space="0"/>
              <w:right w:val="single" w:color="000000" w:sz="4" w:space="0"/>
            </w:tcBorders>
            <w:noWrap w:val="0"/>
            <w:vAlign w:val="top"/>
          </w:tcPr>
          <w:p w14:paraId="777CD2FE">
            <w:pPr>
              <w:rPr>
                <w:rFonts w:hint="eastAsia" w:ascii="宋体" w:hAnsi="宋体" w:eastAsia="宋体" w:cs="宋体"/>
                <w:color w:val="auto"/>
                <w:highlight w:val="none"/>
              </w:rPr>
            </w:pPr>
            <w:r>
              <w:rPr>
                <w:rFonts w:hint="eastAsia" w:ascii="宋体" w:hAnsi="宋体" w:eastAsia="宋体" w:cs="宋体"/>
                <w:color w:val="auto"/>
                <w:sz w:val="24"/>
                <w:highlight w:val="none"/>
              </w:rPr>
              <w:t>可溶性汞/（mg/kg）</w:t>
            </w:r>
          </w:p>
        </w:tc>
        <w:tc>
          <w:tcPr>
            <w:tcW w:w="1643" w:type="dxa"/>
            <w:tcBorders>
              <w:top w:val="nil"/>
              <w:left w:val="single" w:color="000000" w:sz="4" w:space="0"/>
              <w:bottom w:val="single" w:color="auto" w:sz="4" w:space="0"/>
              <w:right w:val="single" w:color="000000" w:sz="4" w:space="0"/>
            </w:tcBorders>
            <w:noWrap w:val="0"/>
            <w:vAlign w:val="top"/>
          </w:tcPr>
          <w:p w14:paraId="65D4551B">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≤2</w:t>
            </w:r>
          </w:p>
        </w:tc>
      </w:tr>
      <w:tr w14:paraId="3F45888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restart"/>
            <w:tcBorders>
              <w:top w:val="single" w:color="auto" w:sz="4" w:space="0"/>
              <w:left w:val="single" w:color="auto" w:sz="4" w:space="0"/>
              <w:bottom w:val="single" w:color="auto" w:sz="4" w:space="0"/>
              <w:right w:val="single" w:color="auto" w:sz="4" w:space="0"/>
            </w:tcBorders>
            <w:noWrap w:val="0"/>
            <w:vAlign w:val="top"/>
          </w:tcPr>
          <w:p w14:paraId="2BF524E0">
            <w:pPr>
              <w:ind w:firstLine="480"/>
              <w:rPr>
                <w:rFonts w:hint="eastAsia" w:ascii="宋体" w:hAnsi="宋体" w:eastAsia="宋体" w:cs="宋体"/>
                <w:color w:val="auto"/>
                <w:highlight w:val="none"/>
              </w:rPr>
            </w:pPr>
          </w:p>
          <w:p w14:paraId="246D4261">
            <w:pPr>
              <w:rPr>
                <w:rFonts w:hint="eastAsia" w:ascii="宋体" w:hAnsi="宋体" w:eastAsia="宋体" w:cs="宋体"/>
                <w:color w:val="auto"/>
                <w:highlight w:val="none"/>
              </w:rPr>
            </w:pPr>
            <w:r>
              <w:rPr>
                <w:rFonts w:hint="eastAsia" w:ascii="宋体" w:hAnsi="宋体" w:eastAsia="宋体" w:cs="宋体"/>
                <w:color w:val="auto"/>
                <w:sz w:val="24"/>
                <w:highlight w:val="none"/>
              </w:rPr>
              <w:t>有害物质释放量</w:t>
            </w:r>
          </w:p>
        </w:tc>
        <w:tc>
          <w:tcPr>
            <w:tcW w:w="5758" w:type="dxa"/>
            <w:tcBorders>
              <w:top w:val="single" w:color="auto" w:sz="4" w:space="0"/>
              <w:left w:val="single" w:color="auto" w:sz="4" w:space="0"/>
              <w:bottom w:val="single" w:color="auto" w:sz="4" w:space="0"/>
              <w:right w:val="single" w:color="auto" w:sz="4" w:space="0"/>
            </w:tcBorders>
            <w:noWrap w:val="0"/>
            <w:vAlign w:val="top"/>
          </w:tcPr>
          <w:p w14:paraId="16078BC4">
            <w:pPr>
              <w:rPr>
                <w:rFonts w:hint="eastAsia" w:ascii="宋体" w:hAnsi="宋体" w:eastAsia="宋体" w:cs="宋体"/>
                <w:color w:val="auto"/>
                <w:highlight w:val="none"/>
              </w:rPr>
            </w:pPr>
            <w:r>
              <w:rPr>
                <w:rFonts w:hint="eastAsia" w:ascii="宋体" w:hAnsi="宋体" w:eastAsia="宋体" w:cs="宋体"/>
                <w:color w:val="auto"/>
                <w:sz w:val="24"/>
                <w:highlight w:val="none"/>
              </w:rPr>
              <w:t>总挥发性有机化合物（TV</w:t>
            </w:r>
            <w:r>
              <w:rPr>
                <w:rFonts w:hint="eastAsia" w:ascii="宋体" w:hAnsi="宋体" w:eastAsia="宋体" w:cs="宋体"/>
                <w:color w:val="auto"/>
                <w:sz w:val="24"/>
                <w:highlight w:val="none"/>
                <w:lang w:val="en-US" w:eastAsia="zh-CN"/>
              </w:rPr>
              <w:t>O</w:t>
            </w:r>
            <w:r>
              <w:rPr>
                <w:rFonts w:hint="eastAsia" w:ascii="宋体" w:hAnsi="宋体" w:eastAsia="宋体" w:cs="宋体"/>
                <w:color w:val="auto"/>
                <w:sz w:val="24"/>
                <w:highlight w:val="none"/>
              </w:rPr>
              <w:t>C）/（mg/(m</w:t>
            </w:r>
            <w:r>
              <w:rPr>
                <w:rFonts w:hint="eastAsia" w:ascii="宋体" w:hAnsi="宋体" w:eastAsia="宋体" w:cs="宋体"/>
                <w:color w:val="auto"/>
                <w:sz w:val="24"/>
                <w:highlight w:val="none"/>
                <w:vertAlign w:val="superscript"/>
              </w:rPr>
              <w:t>2</w:t>
            </w:r>
            <w:r>
              <w:rPr>
                <w:rFonts w:hint="eastAsia" w:ascii="宋体" w:hAnsi="宋体" w:eastAsia="宋体" w:cs="宋体"/>
                <w:color w:val="auto"/>
                <w:sz w:val="24"/>
                <w:highlight w:val="none"/>
              </w:rPr>
              <w:t>·h）)</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5FEFED4F">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≤5.0</w:t>
            </w:r>
          </w:p>
        </w:tc>
      </w:tr>
      <w:tr w14:paraId="31EB3E4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single" w:color="auto" w:sz="4" w:space="0"/>
              <w:left w:val="single" w:color="auto" w:sz="4" w:space="0"/>
              <w:bottom w:val="single" w:color="auto" w:sz="4" w:space="0"/>
              <w:right w:val="single" w:color="auto" w:sz="4" w:space="0"/>
            </w:tcBorders>
            <w:noWrap w:val="0"/>
            <w:vAlign w:val="top"/>
          </w:tcPr>
          <w:p w14:paraId="7821E9F5">
            <w:pPr>
              <w:rPr>
                <w:rFonts w:hint="eastAsia" w:ascii="宋体" w:hAnsi="宋体" w:eastAsia="宋体" w:cs="宋体"/>
                <w:color w:val="auto"/>
                <w:highlight w:val="none"/>
              </w:rPr>
            </w:pPr>
          </w:p>
        </w:tc>
        <w:tc>
          <w:tcPr>
            <w:tcW w:w="5758" w:type="dxa"/>
            <w:tcBorders>
              <w:top w:val="single" w:color="auto" w:sz="4" w:space="0"/>
              <w:left w:val="single" w:color="auto" w:sz="4" w:space="0"/>
              <w:bottom w:val="single" w:color="auto" w:sz="4" w:space="0"/>
              <w:right w:val="single" w:color="auto" w:sz="4" w:space="0"/>
            </w:tcBorders>
            <w:noWrap w:val="0"/>
            <w:vAlign w:val="top"/>
          </w:tcPr>
          <w:p w14:paraId="12913109">
            <w:pPr>
              <w:rPr>
                <w:rFonts w:hint="eastAsia" w:ascii="宋体" w:hAnsi="宋体" w:eastAsia="宋体" w:cs="宋体"/>
                <w:color w:val="auto"/>
                <w:highlight w:val="none"/>
              </w:rPr>
            </w:pPr>
            <w:r>
              <w:rPr>
                <w:rFonts w:hint="eastAsia" w:ascii="宋体" w:hAnsi="宋体" w:eastAsia="宋体" w:cs="宋体"/>
                <w:color w:val="auto"/>
                <w:sz w:val="24"/>
                <w:highlight w:val="none"/>
              </w:rPr>
              <w:t>甲醛/（mg/(m</w:t>
            </w:r>
            <w:r>
              <w:rPr>
                <w:rFonts w:hint="eastAsia" w:ascii="宋体" w:hAnsi="宋体" w:eastAsia="宋体" w:cs="宋体"/>
                <w:color w:val="auto"/>
                <w:sz w:val="24"/>
                <w:highlight w:val="none"/>
                <w:vertAlign w:val="superscript"/>
              </w:rPr>
              <w:t>2</w:t>
            </w:r>
            <w:r>
              <w:rPr>
                <w:rFonts w:hint="eastAsia" w:ascii="宋体" w:hAnsi="宋体" w:eastAsia="宋体" w:cs="宋体"/>
                <w:color w:val="auto"/>
                <w:sz w:val="24"/>
                <w:highlight w:val="none"/>
              </w:rPr>
              <w:t>·h）)</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641DBE7B">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≤0.4</w:t>
            </w:r>
          </w:p>
        </w:tc>
      </w:tr>
      <w:tr w14:paraId="4609CE7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single" w:color="auto" w:sz="4" w:space="0"/>
              <w:left w:val="single" w:color="auto" w:sz="4" w:space="0"/>
              <w:bottom w:val="single" w:color="auto" w:sz="4" w:space="0"/>
              <w:right w:val="single" w:color="auto" w:sz="4" w:space="0"/>
            </w:tcBorders>
            <w:noWrap w:val="0"/>
            <w:vAlign w:val="top"/>
          </w:tcPr>
          <w:p w14:paraId="0BFE610F">
            <w:pPr>
              <w:rPr>
                <w:rFonts w:hint="eastAsia" w:ascii="宋体" w:hAnsi="宋体" w:eastAsia="宋体" w:cs="宋体"/>
                <w:color w:val="auto"/>
                <w:highlight w:val="none"/>
              </w:rPr>
            </w:pPr>
          </w:p>
        </w:tc>
        <w:tc>
          <w:tcPr>
            <w:tcW w:w="5758" w:type="dxa"/>
            <w:tcBorders>
              <w:top w:val="single" w:color="auto" w:sz="4" w:space="0"/>
              <w:left w:val="single" w:color="auto" w:sz="4" w:space="0"/>
              <w:bottom w:val="single" w:color="auto" w:sz="4" w:space="0"/>
              <w:right w:val="single" w:color="auto" w:sz="4" w:space="0"/>
            </w:tcBorders>
            <w:noWrap w:val="0"/>
            <w:vAlign w:val="top"/>
          </w:tcPr>
          <w:p w14:paraId="3D37AB1D">
            <w:pPr>
              <w:rPr>
                <w:rFonts w:hint="eastAsia" w:ascii="宋体" w:hAnsi="宋体" w:eastAsia="宋体" w:cs="宋体"/>
                <w:color w:val="auto"/>
                <w:highlight w:val="none"/>
              </w:rPr>
            </w:pPr>
            <w:r>
              <w:rPr>
                <w:rFonts w:hint="eastAsia" w:ascii="宋体" w:hAnsi="宋体" w:eastAsia="宋体" w:cs="宋体"/>
                <w:color w:val="auto"/>
                <w:sz w:val="24"/>
                <w:highlight w:val="none"/>
              </w:rPr>
              <w:t>苯/（mg/(m</w:t>
            </w:r>
            <w:r>
              <w:rPr>
                <w:rFonts w:hint="eastAsia" w:ascii="宋体" w:hAnsi="宋体" w:eastAsia="宋体" w:cs="宋体"/>
                <w:color w:val="auto"/>
                <w:sz w:val="24"/>
                <w:highlight w:val="none"/>
                <w:vertAlign w:val="superscript"/>
              </w:rPr>
              <w:t>2</w:t>
            </w:r>
            <w:r>
              <w:rPr>
                <w:rFonts w:hint="eastAsia" w:ascii="宋体" w:hAnsi="宋体" w:eastAsia="宋体" w:cs="宋体"/>
                <w:color w:val="auto"/>
                <w:sz w:val="24"/>
                <w:highlight w:val="none"/>
              </w:rPr>
              <w:t>·h）)</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1E7E3156">
            <w:pPr>
              <w:ind w:firstLine="480"/>
              <w:rPr>
                <w:rFonts w:hint="eastAsia" w:ascii="宋体" w:hAnsi="宋体" w:eastAsia="宋体" w:cs="宋体"/>
                <w:color w:val="auto"/>
                <w:highlight w:val="none"/>
                <w:lang w:val="en-US" w:eastAsia="zh-CN"/>
              </w:rPr>
            </w:pPr>
            <w:r>
              <w:rPr>
                <w:rFonts w:hint="eastAsia" w:ascii="宋体" w:hAnsi="宋体" w:eastAsia="宋体" w:cs="宋体"/>
                <w:color w:val="auto"/>
                <w:sz w:val="24"/>
                <w:highlight w:val="none"/>
              </w:rPr>
              <w:t>≤0.</w:t>
            </w:r>
            <w:r>
              <w:rPr>
                <w:rFonts w:hint="eastAsia" w:ascii="宋体" w:hAnsi="宋体" w:eastAsia="宋体" w:cs="宋体"/>
                <w:color w:val="auto"/>
                <w:sz w:val="24"/>
                <w:highlight w:val="none"/>
                <w:lang w:val="en-US" w:eastAsia="zh-CN"/>
              </w:rPr>
              <w:t>1</w:t>
            </w:r>
          </w:p>
        </w:tc>
      </w:tr>
      <w:tr w14:paraId="3AB0319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91" w:type="dxa"/>
            <w:vMerge w:val="continue"/>
            <w:tcBorders>
              <w:top w:val="single" w:color="auto" w:sz="4" w:space="0"/>
              <w:left w:val="single" w:color="auto" w:sz="4" w:space="0"/>
              <w:bottom w:val="single" w:color="auto" w:sz="4" w:space="0"/>
              <w:right w:val="single" w:color="auto" w:sz="4" w:space="0"/>
            </w:tcBorders>
            <w:noWrap w:val="0"/>
            <w:vAlign w:val="top"/>
          </w:tcPr>
          <w:p w14:paraId="2B26160B">
            <w:pPr>
              <w:rPr>
                <w:rFonts w:hint="eastAsia" w:ascii="宋体" w:hAnsi="宋体" w:eastAsia="宋体" w:cs="宋体"/>
                <w:color w:val="auto"/>
                <w:highlight w:val="none"/>
              </w:rPr>
            </w:pPr>
          </w:p>
        </w:tc>
        <w:tc>
          <w:tcPr>
            <w:tcW w:w="5758" w:type="dxa"/>
            <w:tcBorders>
              <w:top w:val="single" w:color="auto" w:sz="4" w:space="0"/>
              <w:left w:val="single" w:color="auto" w:sz="4" w:space="0"/>
              <w:bottom w:val="single" w:color="auto" w:sz="4" w:space="0"/>
              <w:right w:val="single" w:color="auto" w:sz="4" w:space="0"/>
            </w:tcBorders>
            <w:noWrap w:val="0"/>
            <w:vAlign w:val="top"/>
          </w:tcPr>
          <w:p w14:paraId="6C6F692B">
            <w:pPr>
              <w:rPr>
                <w:rFonts w:hint="eastAsia" w:ascii="宋体" w:hAnsi="宋体" w:eastAsia="宋体" w:cs="宋体"/>
                <w:color w:val="auto"/>
                <w:highlight w:val="none"/>
              </w:rPr>
            </w:pPr>
            <w:r>
              <w:rPr>
                <w:rFonts w:hint="eastAsia" w:ascii="宋体" w:hAnsi="宋体" w:eastAsia="宋体" w:cs="宋体"/>
                <w:color w:val="auto"/>
                <w:sz w:val="24"/>
                <w:highlight w:val="none"/>
              </w:rPr>
              <w:t>甲苯、二甲苯和乙苯总和（mg/(m</w:t>
            </w:r>
            <w:r>
              <w:rPr>
                <w:rFonts w:hint="eastAsia" w:ascii="宋体" w:hAnsi="宋体" w:eastAsia="宋体" w:cs="宋体"/>
                <w:color w:val="auto"/>
                <w:sz w:val="24"/>
                <w:highlight w:val="none"/>
                <w:vertAlign w:val="superscript"/>
              </w:rPr>
              <w:t>2</w:t>
            </w:r>
            <w:r>
              <w:rPr>
                <w:rFonts w:hint="eastAsia" w:ascii="宋体" w:hAnsi="宋体" w:eastAsia="宋体" w:cs="宋体"/>
                <w:color w:val="auto"/>
                <w:sz w:val="24"/>
                <w:highlight w:val="none"/>
              </w:rPr>
              <w:t>·h）)</w:t>
            </w:r>
          </w:p>
        </w:tc>
        <w:tc>
          <w:tcPr>
            <w:tcW w:w="1643" w:type="dxa"/>
            <w:tcBorders>
              <w:top w:val="single" w:color="auto" w:sz="4" w:space="0"/>
              <w:left w:val="single" w:color="auto" w:sz="4" w:space="0"/>
              <w:bottom w:val="single" w:color="auto" w:sz="4" w:space="0"/>
              <w:right w:val="single" w:color="auto" w:sz="4" w:space="0"/>
            </w:tcBorders>
            <w:noWrap w:val="0"/>
            <w:vAlign w:val="top"/>
          </w:tcPr>
          <w:p w14:paraId="2E579557">
            <w:pPr>
              <w:ind w:firstLine="480"/>
              <w:rPr>
                <w:rFonts w:hint="eastAsia" w:ascii="宋体" w:hAnsi="宋体" w:eastAsia="宋体" w:cs="宋体"/>
                <w:color w:val="auto"/>
                <w:highlight w:val="none"/>
              </w:rPr>
            </w:pPr>
            <w:r>
              <w:rPr>
                <w:rFonts w:hint="eastAsia" w:ascii="宋体" w:hAnsi="宋体" w:eastAsia="宋体" w:cs="宋体"/>
                <w:color w:val="auto"/>
                <w:sz w:val="24"/>
                <w:highlight w:val="none"/>
              </w:rPr>
              <w:t>≤1.0</w:t>
            </w:r>
          </w:p>
        </w:tc>
      </w:tr>
    </w:tbl>
    <w:p w14:paraId="4BED30E7">
      <w:pPr>
        <w:bidi w:val="0"/>
        <w:rPr>
          <w:rFonts w:hint="eastAsia" w:ascii="宋体" w:hAnsi="宋体" w:eastAsia="宋体" w:cs="宋体"/>
          <w:color w:val="auto"/>
          <w:highlight w:val="none"/>
        </w:rPr>
      </w:pPr>
    </w:p>
    <w:p w14:paraId="49EA4BDD">
      <w:pPr>
        <w:pStyle w:val="8"/>
        <w:numPr>
          <w:ilvl w:val="0"/>
          <w:numId w:val="6"/>
        </w:numPr>
        <w:spacing w:line="360" w:lineRule="auto"/>
        <w:ind w:left="0" w:leftChars="0" w:firstLine="400"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lang w:val="en-US" w:eastAsia="zh-CN"/>
        </w:rPr>
        <w:t>人造草面层成品及草丝的物理机械性能要求</w:t>
      </w:r>
    </w:p>
    <w:tbl>
      <w:tblPr>
        <w:tblStyle w:val="6"/>
        <w:tblW w:w="0" w:type="auto"/>
        <w:tblInd w:w="12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2086"/>
        <w:gridCol w:w="3305"/>
        <w:gridCol w:w="5"/>
        <w:gridCol w:w="2018"/>
        <w:gridCol w:w="5"/>
      </w:tblGrid>
      <w:tr w14:paraId="18946BE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gridAfter w:val="1"/>
          <w:wAfter w:w="5" w:type="dxa"/>
          <w:trHeight w:val="341" w:hRule="atLeast"/>
        </w:trPr>
        <w:tc>
          <w:tcPr>
            <w:tcW w:w="5391" w:type="dxa"/>
            <w:gridSpan w:val="2"/>
            <w:tcBorders>
              <w:top w:val="single" w:color="000000" w:sz="4" w:space="0"/>
              <w:left w:val="single" w:color="auto" w:sz="4" w:space="0"/>
              <w:bottom w:val="single" w:color="000000" w:sz="4" w:space="0"/>
              <w:right w:val="single" w:color="000000" w:sz="4" w:space="0"/>
            </w:tcBorders>
            <w:noWrap w:val="0"/>
            <w:vAlign w:val="top"/>
          </w:tcPr>
          <w:p w14:paraId="167301E3">
            <w:pPr>
              <w:ind w:firstLine="480"/>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项目</w:t>
            </w:r>
          </w:p>
        </w:tc>
        <w:tc>
          <w:tcPr>
            <w:tcW w:w="2023" w:type="dxa"/>
            <w:gridSpan w:val="2"/>
            <w:tcBorders>
              <w:top w:val="single" w:color="000000" w:sz="4" w:space="0"/>
              <w:left w:val="single" w:color="000000" w:sz="4" w:space="0"/>
              <w:bottom w:val="single" w:color="000000" w:sz="4" w:space="0"/>
              <w:right w:val="single" w:color="000000" w:sz="4" w:space="0"/>
            </w:tcBorders>
            <w:noWrap w:val="0"/>
            <w:vAlign w:val="top"/>
          </w:tcPr>
          <w:p w14:paraId="06F3BA83">
            <w:pPr>
              <w:jc w:val="center"/>
              <w:rPr>
                <w:rFonts w:hint="eastAsia" w:ascii="宋体" w:hAnsi="宋体" w:eastAsia="宋体" w:cs="宋体"/>
                <w:color w:val="auto"/>
                <w:highlight w:val="none"/>
              </w:rPr>
            </w:pPr>
            <w:r>
              <w:rPr>
                <w:rFonts w:hint="eastAsia" w:ascii="宋体" w:hAnsi="宋体" w:eastAsia="宋体" w:cs="宋体"/>
                <w:color w:val="auto"/>
                <w:sz w:val="24"/>
                <w:highlight w:val="none"/>
              </w:rPr>
              <w:t>要求</w:t>
            </w:r>
          </w:p>
        </w:tc>
      </w:tr>
      <w:tr w14:paraId="297B8C1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41" w:hRule="atLeast"/>
        </w:trPr>
        <w:tc>
          <w:tcPr>
            <w:tcW w:w="5396" w:type="dxa"/>
            <w:gridSpan w:val="3"/>
            <w:tcBorders>
              <w:top w:val="nil"/>
              <w:left w:val="single" w:color="auto" w:sz="4" w:space="0"/>
              <w:bottom w:val="single" w:color="000000" w:sz="4" w:space="0"/>
              <w:right w:val="single" w:color="000000" w:sz="4" w:space="0"/>
            </w:tcBorders>
            <w:noWrap w:val="0"/>
            <w:vAlign w:val="top"/>
          </w:tcPr>
          <w:p w14:paraId="74152651">
            <w:pPr>
              <w:ind w:firstLine="480"/>
              <w:jc w:val="center"/>
              <w:rPr>
                <w:rFonts w:hint="eastAsia" w:ascii="宋体" w:hAnsi="宋体" w:eastAsia="宋体" w:cs="宋体"/>
                <w:color w:val="auto"/>
                <w:highlight w:val="none"/>
              </w:rPr>
            </w:pPr>
            <w:r>
              <w:rPr>
                <w:rFonts w:hint="eastAsia" w:ascii="宋体" w:hAnsi="宋体" w:eastAsia="宋体" w:cs="宋体"/>
                <w:color w:val="auto"/>
                <w:sz w:val="24"/>
                <w:highlight w:val="none"/>
              </w:rPr>
              <w:t>冲击吸收/（%）</w:t>
            </w:r>
          </w:p>
        </w:tc>
        <w:tc>
          <w:tcPr>
            <w:tcW w:w="2023" w:type="dxa"/>
            <w:gridSpan w:val="2"/>
            <w:tcBorders>
              <w:top w:val="nil"/>
              <w:left w:val="single" w:color="000000" w:sz="4" w:space="0"/>
              <w:bottom w:val="single" w:color="000000" w:sz="4" w:space="0"/>
              <w:right w:val="single" w:color="000000" w:sz="4" w:space="0"/>
            </w:tcBorders>
            <w:noWrap w:val="0"/>
            <w:vAlign w:val="top"/>
          </w:tcPr>
          <w:p w14:paraId="3AD7B670">
            <w:pPr>
              <w:jc w:val="center"/>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5～</w:t>
            </w:r>
            <w:r>
              <w:rPr>
                <w:rFonts w:hint="eastAsia" w:ascii="宋体" w:hAnsi="宋体" w:eastAsia="宋体" w:cs="宋体"/>
                <w:color w:val="auto"/>
                <w:sz w:val="24"/>
                <w:highlight w:val="none"/>
                <w:lang w:val="en-US" w:eastAsia="zh-CN"/>
              </w:rPr>
              <w:t>7</w:t>
            </w:r>
            <w:r>
              <w:rPr>
                <w:rFonts w:hint="eastAsia" w:ascii="宋体" w:hAnsi="宋体" w:eastAsia="宋体" w:cs="宋体"/>
                <w:color w:val="auto"/>
                <w:sz w:val="24"/>
                <w:highlight w:val="none"/>
              </w:rPr>
              <w:t>0</w:t>
            </w:r>
          </w:p>
        </w:tc>
      </w:tr>
      <w:tr w14:paraId="1E2E0F8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41" w:hRule="atLeast"/>
        </w:trPr>
        <w:tc>
          <w:tcPr>
            <w:tcW w:w="5396" w:type="dxa"/>
            <w:gridSpan w:val="3"/>
            <w:tcBorders>
              <w:top w:val="nil"/>
              <w:left w:val="single" w:color="000000" w:sz="4" w:space="0"/>
              <w:bottom w:val="single" w:color="000000" w:sz="4" w:space="0"/>
              <w:right w:val="single" w:color="000000" w:sz="4" w:space="0"/>
            </w:tcBorders>
            <w:noWrap w:val="0"/>
            <w:vAlign w:val="top"/>
          </w:tcPr>
          <w:p w14:paraId="2DA9F467">
            <w:pPr>
              <w:ind w:firstLine="48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垂直变形/(mm)</w:t>
            </w:r>
          </w:p>
        </w:tc>
        <w:tc>
          <w:tcPr>
            <w:tcW w:w="2023" w:type="dxa"/>
            <w:gridSpan w:val="2"/>
            <w:tcBorders>
              <w:top w:val="nil"/>
              <w:left w:val="single" w:color="000000" w:sz="4" w:space="0"/>
              <w:bottom w:val="single" w:color="000000" w:sz="4" w:space="0"/>
              <w:right w:val="single" w:color="000000" w:sz="4" w:space="0"/>
            </w:tcBorders>
            <w:noWrap w:val="0"/>
            <w:vAlign w:val="top"/>
          </w:tcPr>
          <w:p w14:paraId="782D0AF7">
            <w:pPr>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val="en-US" w:eastAsia="zh-CN"/>
              </w:rPr>
              <w:t>11</w:t>
            </w:r>
          </w:p>
        </w:tc>
      </w:tr>
      <w:tr w14:paraId="07839EF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41" w:hRule="atLeast"/>
        </w:trPr>
        <w:tc>
          <w:tcPr>
            <w:tcW w:w="2086" w:type="dxa"/>
            <w:vMerge w:val="restart"/>
            <w:tcBorders>
              <w:top w:val="nil"/>
              <w:left w:val="single" w:color="000000" w:sz="4" w:space="0"/>
              <w:right w:val="single" w:color="auto" w:sz="4" w:space="0"/>
            </w:tcBorders>
            <w:noWrap w:val="0"/>
            <w:vAlign w:val="top"/>
          </w:tcPr>
          <w:p w14:paraId="15487BDA">
            <w:pPr>
              <w:jc w:val="center"/>
              <w:rPr>
                <w:rFonts w:hint="eastAsia" w:ascii="宋体" w:hAnsi="宋体" w:eastAsia="宋体" w:cs="宋体"/>
                <w:color w:val="auto"/>
                <w:highlight w:val="none"/>
              </w:rPr>
            </w:pPr>
            <w:r>
              <w:rPr>
                <w:rFonts w:hint="eastAsia" w:ascii="宋体" w:hAnsi="宋体" w:eastAsia="宋体" w:cs="宋体"/>
                <w:color w:val="auto"/>
                <w:highlight w:val="none"/>
              </w:rPr>
              <w:t>草丝拉断力/N</w:t>
            </w:r>
          </w:p>
        </w:tc>
        <w:tc>
          <w:tcPr>
            <w:tcW w:w="3310" w:type="dxa"/>
            <w:gridSpan w:val="2"/>
            <w:tcBorders>
              <w:top w:val="nil"/>
              <w:left w:val="single" w:color="auto" w:sz="4" w:space="0"/>
              <w:bottom w:val="single" w:color="000000" w:sz="4" w:space="0"/>
              <w:right w:val="single" w:color="000000" w:sz="4" w:space="0"/>
            </w:tcBorders>
            <w:noWrap w:val="0"/>
            <w:vAlign w:val="top"/>
          </w:tcPr>
          <w:p w14:paraId="2C8D6719">
            <w:pPr>
              <w:jc w:val="center"/>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开网丝</w:t>
            </w:r>
          </w:p>
        </w:tc>
        <w:tc>
          <w:tcPr>
            <w:tcW w:w="2023" w:type="dxa"/>
            <w:gridSpan w:val="2"/>
            <w:tcBorders>
              <w:top w:val="nil"/>
              <w:left w:val="single" w:color="000000" w:sz="4" w:space="0"/>
              <w:bottom w:val="single" w:color="000000" w:sz="4" w:space="0"/>
              <w:right w:val="single" w:color="000000" w:sz="4" w:space="0"/>
            </w:tcBorders>
            <w:noWrap w:val="0"/>
            <w:vAlign w:val="top"/>
          </w:tcPr>
          <w:p w14:paraId="1269D442">
            <w:pPr>
              <w:ind w:firstLine="787" w:firstLineChars="328"/>
              <w:jc w:val="both"/>
              <w:rPr>
                <w:rFonts w:hint="eastAsia" w:ascii="宋体" w:hAnsi="宋体" w:eastAsia="宋体" w:cs="宋体"/>
                <w:color w:val="auto"/>
                <w:highlight w:val="none"/>
                <w:lang w:val="en-US" w:eastAsia="zh-CN"/>
              </w:rPr>
            </w:pP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val="en-US" w:eastAsia="zh-CN"/>
              </w:rPr>
              <w:t>60</w:t>
            </w:r>
          </w:p>
        </w:tc>
      </w:tr>
      <w:tr w14:paraId="65594DB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51" w:hRule="atLeast"/>
        </w:trPr>
        <w:tc>
          <w:tcPr>
            <w:tcW w:w="2086" w:type="dxa"/>
            <w:vMerge w:val="continue"/>
            <w:tcBorders>
              <w:left w:val="single" w:color="000000" w:sz="4" w:space="0"/>
              <w:bottom w:val="single" w:color="000000" w:sz="4" w:space="0"/>
              <w:right w:val="single" w:color="auto" w:sz="4" w:space="0"/>
            </w:tcBorders>
            <w:noWrap w:val="0"/>
            <w:vAlign w:val="top"/>
          </w:tcPr>
          <w:p w14:paraId="54BD13B5">
            <w:pPr>
              <w:ind w:firstLine="480"/>
              <w:jc w:val="center"/>
              <w:rPr>
                <w:rFonts w:hint="eastAsia" w:ascii="宋体" w:hAnsi="宋体" w:eastAsia="宋体" w:cs="宋体"/>
                <w:color w:val="auto"/>
                <w:highlight w:val="none"/>
              </w:rPr>
            </w:pPr>
          </w:p>
        </w:tc>
        <w:tc>
          <w:tcPr>
            <w:tcW w:w="3310" w:type="dxa"/>
            <w:gridSpan w:val="2"/>
            <w:tcBorders>
              <w:top w:val="nil"/>
              <w:left w:val="single" w:color="auto" w:sz="4" w:space="0"/>
              <w:bottom w:val="single" w:color="000000" w:sz="4" w:space="0"/>
              <w:right w:val="single" w:color="000000" w:sz="4" w:space="0"/>
            </w:tcBorders>
            <w:noWrap w:val="0"/>
            <w:vAlign w:val="top"/>
          </w:tcPr>
          <w:p w14:paraId="315A0FCD">
            <w:pPr>
              <w:ind w:firstLine="1314" w:firstLineChars="626"/>
              <w:jc w:val="both"/>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单丝</w:t>
            </w:r>
          </w:p>
        </w:tc>
        <w:tc>
          <w:tcPr>
            <w:tcW w:w="2023" w:type="dxa"/>
            <w:gridSpan w:val="2"/>
            <w:tcBorders>
              <w:top w:val="nil"/>
              <w:left w:val="single" w:color="000000" w:sz="4" w:space="0"/>
              <w:bottom w:val="single" w:color="000000" w:sz="4" w:space="0"/>
              <w:right w:val="single" w:color="000000" w:sz="4" w:space="0"/>
            </w:tcBorders>
            <w:noWrap w:val="0"/>
            <w:vAlign w:val="top"/>
          </w:tcPr>
          <w:p w14:paraId="079A401B">
            <w:pPr>
              <w:jc w:val="center"/>
              <w:rPr>
                <w:rFonts w:hint="eastAsia" w:ascii="宋体" w:hAnsi="宋体" w:eastAsia="宋体" w:cs="宋体"/>
                <w:color w:val="auto"/>
                <w:highlight w:val="none"/>
                <w:lang w:val="en-US" w:eastAsia="zh-CN"/>
              </w:rPr>
            </w:pP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val="en-US" w:eastAsia="zh-CN"/>
              </w:rPr>
              <w:t>10</w:t>
            </w:r>
          </w:p>
        </w:tc>
      </w:tr>
      <w:tr w14:paraId="75827C0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41" w:hRule="atLeast"/>
        </w:trPr>
        <w:tc>
          <w:tcPr>
            <w:tcW w:w="5396" w:type="dxa"/>
            <w:gridSpan w:val="3"/>
            <w:tcBorders>
              <w:top w:val="nil"/>
              <w:left w:val="single" w:color="000000" w:sz="4" w:space="0"/>
              <w:bottom w:val="single" w:color="000000" w:sz="4" w:space="0"/>
              <w:right w:val="single" w:color="000000" w:sz="4" w:space="0"/>
            </w:tcBorders>
            <w:noWrap w:val="0"/>
            <w:vAlign w:val="top"/>
          </w:tcPr>
          <w:p w14:paraId="4FA9A1B3">
            <w:pPr>
              <w:ind w:firstLine="48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kern w:val="2"/>
                <w:sz w:val="21"/>
                <w:szCs w:val="24"/>
                <w:highlight w:val="none"/>
                <w:lang w:val="en-US" w:eastAsia="zh-CN" w:bidi="ar-SA"/>
              </w:rPr>
              <w:t>单簇草丝拔出力/N</w:t>
            </w:r>
          </w:p>
        </w:tc>
        <w:tc>
          <w:tcPr>
            <w:tcW w:w="2023" w:type="dxa"/>
            <w:gridSpan w:val="2"/>
            <w:tcBorders>
              <w:top w:val="nil"/>
              <w:left w:val="single" w:color="000000" w:sz="4" w:space="0"/>
              <w:bottom w:val="single" w:color="000000" w:sz="4" w:space="0"/>
              <w:right w:val="single" w:color="000000" w:sz="4" w:space="0"/>
            </w:tcBorders>
            <w:noWrap w:val="0"/>
            <w:vAlign w:val="top"/>
          </w:tcPr>
          <w:p w14:paraId="4066FCEB">
            <w:pPr>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val="en-US" w:eastAsia="zh-CN"/>
              </w:rPr>
              <w:t>20</w:t>
            </w:r>
          </w:p>
        </w:tc>
      </w:tr>
    </w:tbl>
    <w:p w14:paraId="23407CC9">
      <w:pPr>
        <w:pStyle w:val="8"/>
        <w:numPr>
          <w:ilvl w:val="0"/>
          <w:numId w:val="1"/>
        </w:numPr>
        <w:spacing w:line="360" w:lineRule="auto"/>
        <w:ind w:left="-420" w:leftChars="0" w:firstLine="420" w:firstLineChars="0"/>
        <w:outlineLvl w:val="2"/>
        <w:rPr>
          <w:rFonts w:hint="eastAsia" w:ascii="宋体" w:hAnsi="宋体" w:eastAsia="宋体" w:cs="宋体"/>
          <w:b/>
          <w:color w:val="auto"/>
          <w:kern w:val="2"/>
          <w:sz w:val="32"/>
          <w:szCs w:val="24"/>
          <w:highlight w:val="none"/>
          <w:lang w:val="en-US" w:eastAsia="zh-CN" w:bidi="ar-SA"/>
        </w:rPr>
      </w:pPr>
      <w:r>
        <w:rPr>
          <w:rFonts w:hint="eastAsia" w:ascii="宋体" w:hAnsi="宋体" w:eastAsia="宋体" w:cs="宋体"/>
          <w:b/>
          <w:color w:val="auto"/>
          <w:kern w:val="2"/>
          <w:sz w:val="32"/>
          <w:szCs w:val="24"/>
          <w:highlight w:val="none"/>
          <w:lang w:val="en-US" w:eastAsia="zh-CN" w:bidi="ar-SA"/>
        </w:rPr>
        <w:t>各类球场划线要求</w:t>
      </w:r>
    </w:p>
    <w:p w14:paraId="0628E441">
      <w:pPr>
        <w:pStyle w:val="8"/>
        <w:numPr>
          <w:ilvl w:val="0"/>
          <w:numId w:val="7"/>
        </w:numPr>
        <w:spacing w:line="360" w:lineRule="auto"/>
        <w:ind w:left="0" w:leftChars="0" w:firstLine="400" w:firstLineChars="0"/>
        <w:outlineLvl w:val="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划线前，成交供应商须与采购人沟通并确认具体的划线要求后，才能开始划线工作。如因成交供应商划线前未与采购人沟通确认，由此导致的返工及费用，由成交供应商自行负责。</w:t>
      </w:r>
    </w:p>
    <w:p w14:paraId="58202C05">
      <w:pPr>
        <w:pStyle w:val="8"/>
        <w:numPr>
          <w:ilvl w:val="0"/>
          <w:numId w:val="7"/>
        </w:numPr>
        <w:spacing w:line="360" w:lineRule="auto"/>
        <w:ind w:left="0" w:leftChars="0" w:firstLine="400"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场地铺设完成后,全场做卫生清洁工作,完成后即可开始划线,其步骤如下</w:t>
      </w:r>
      <w:r>
        <w:rPr>
          <w:rFonts w:hint="eastAsia" w:ascii="宋体" w:hAnsi="宋体" w:eastAsia="宋体" w:cs="宋体"/>
          <w:b w:val="0"/>
          <w:bCs/>
          <w:color w:val="auto"/>
          <w:sz w:val="21"/>
          <w:szCs w:val="21"/>
          <w:highlight w:val="none"/>
          <w:lang w:eastAsia="zh-CN"/>
        </w:rPr>
        <w:t>：</w:t>
      </w:r>
    </w:p>
    <w:p w14:paraId="5D54E7FE">
      <w:pPr>
        <w:pStyle w:val="8"/>
        <w:numPr>
          <w:ilvl w:val="0"/>
          <w:numId w:val="8"/>
        </w:numPr>
        <w:spacing w:line="360" w:lineRule="auto"/>
        <w:ind w:left="425" w:leftChars="0" w:hanging="425"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首先用激光测距仪及经伟仪复检七个基本桩点,并对误差做调校确定后,按照国际田联的标准进行测量,画出各种标志线,以此为基准用钢只把分道线分好,用铁钉定点,再用具有一定韧性的鱼丝线将直线各点按纵横相连。</w:t>
      </w:r>
    </w:p>
    <w:p w14:paraId="1A3CD171">
      <w:pPr>
        <w:pStyle w:val="8"/>
        <w:numPr>
          <w:ilvl w:val="0"/>
          <w:numId w:val="8"/>
        </w:numPr>
        <w:spacing w:line="360" w:lineRule="auto"/>
        <w:ind w:left="425" w:leftChars="0" w:hanging="425"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将线槽基准线与定位线对齐。将线漆调好后即可开始喷分道线。注意喷线时务必用电脑喷线机动性喷嘴的高度与角度及宽度确保线宽的误差严格控制在规则允许的最低限。</w:t>
      </w:r>
    </w:p>
    <w:p w14:paraId="2D375E7D">
      <w:pPr>
        <w:pStyle w:val="8"/>
        <w:numPr>
          <w:ilvl w:val="0"/>
          <w:numId w:val="8"/>
        </w:numPr>
        <w:spacing w:line="360" w:lineRule="auto"/>
        <w:ind w:left="425" w:leftChars="0" w:hanging="425"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用钢只采用放射线丈法再次检查确认,再根据不同项目用同颜色喷涂上述各点位线。</w:t>
      </w:r>
    </w:p>
    <w:p w14:paraId="70841588">
      <w:pPr>
        <w:pStyle w:val="8"/>
        <w:numPr>
          <w:ilvl w:val="0"/>
          <w:numId w:val="7"/>
        </w:numPr>
        <w:spacing w:line="360" w:lineRule="auto"/>
        <w:ind w:left="0" w:leftChars="0" w:firstLine="400"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标线喷划注意事项</w:t>
      </w:r>
      <w:r>
        <w:rPr>
          <w:rFonts w:hint="eastAsia" w:ascii="宋体" w:hAnsi="宋体" w:eastAsia="宋体" w:cs="宋体"/>
          <w:b w:val="0"/>
          <w:bCs/>
          <w:color w:val="auto"/>
          <w:sz w:val="21"/>
          <w:szCs w:val="21"/>
          <w:highlight w:val="none"/>
          <w:lang w:eastAsia="zh-CN"/>
        </w:rPr>
        <w:t>：</w:t>
      </w:r>
    </w:p>
    <w:p w14:paraId="20BBAB0D">
      <w:pPr>
        <w:pStyle w:val="8"/>
        <w:numPr>
          <w:ilvl w:val="0"/>
          <w:numId w:val="9"/>
        </w:numPr>
        <w:spacing w:line="360" w:lineRule="auto"/>
        <w:ind w:left="425" w:leftChars="0" w:hanging="425"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喷线前场地清洁要彻底,浮粒回收要干净,杜绝因喝离出现瑕疵现象。有风时不能喷线,防止因风影响出现虚边。</w:t>
      </w:r>
    </w:p>
    <w:p w14:paraId="646DB956">
      <w:pPr>
        <w:pStyle w:val="8"/>
        <w:numPr>
          <w:ilvl w:val="0"/>
          <w:numId w:val="9"/>
        </w:numPr>
        <w:spacing w:line="360" w:lineRule="auto"/>
        <w:ind w:left="425" w:leftChars="0" w:hanging="425" w:firstLineChars="0"/>
        <w:outlineLvl w:val="2"/>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划线后需经体育工艺员复核,角度部分用放射线长度进行校核,直线部分用鉴定过的钢(包括尺长校正、温度校正)进行复核,确认符合方可按国际田联规定的彩色标志喷漆。</w:t>
      </w:r>
    </w:p>
    <w:p w14:paraId="50BEA5F1">
      <w:pPr>
        <w:bidi w:val="0"/>
        <w:rPr>
          <w:rFonts w:hint="eastAsia" w:ascii="宋体" w:hAnsi="宋体" w:eastAsia="宋体" w:cs="宋体"/>
          <w:color w:val="auto"/>
          <w:highlight w:val="none"/>
        </w:rPr>
      </w:pPr>
    </w:p>
    <w:p w14:paraId="78CD206D">
      <w:pPr>
        <w:pStyle w:val="2"/>
        <w:numPr>
          <w:ilvl w:val="0"/>
          <w:numId w:val="1"/>
        </w:numPr>
        <w:bidi w:val="0"/>
        <w:rPr>
          <w:rFonts w:hint="eastAsia" w:ascii="宋体" w:hAnsi="宋体" w:eastAsia="宋体" w:cs="宋体"/>
          <w:color w:val="auto"/>
          <w:highlight w:val="none"/>
        </w:rPr>
      </w:pPr>
      <w:r>
        <w:rPr>
          <w:rFonts w:hint="eastAsia" w:ascii="宋体" w:hAnsi="宋体" w:eastAsia="宋体" w:cs="宋体"/>
          <w:color w:val="auto"/>
          <w:highlight w:val="none"/>
        </w:rPr>
        <w:t>工承包标准</w:t>
      </w:r>
    </w:p>
    <w:p w14:paraId="2E6E0E50">
      <w:pPr>
        <w:numPr>
          <w:ilvl w:val="0"/>
          <w:numId w:val="10"/>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本工程为固定总价合同，实行总价包干。</w:t>
      </w:r>
      <w:r>
        <w:rPr>
          <w:rFonts w:hint="eastAsia" w:ascii="宋体" w:hAnsi="宋体" w:eastAsia="宋体" w:cs="宋体"/>
          <w:color w:val="auto"/>
          <w:sz w:val="21"/>
          <w:szCs w:val="21"/>
          <w:highlight w:val="none"/>
          <w:lang w:eastAsia="zh-CN"/>
        </w:rPr>
        <w:t>供应商</w:t>
      </w:r>
      <w:r>
        <w:rPr>
          <w:rFonts w:hint="eastAsia" w:ascii="宋体" w:hAnsi="宋体" w:eastAsia="宋体" w:cs="宋体"/>
          <w:color w:val="auto"/>
          <w:sz w:val="21"/>
          <w:szCs w:val="21"/>
          <w:highlight w:val="none"/>
        </w:rPr>
        <w:t>应按照施工图及招标文件有关工期、质量、文明施工、安全等的要求，按照答疑后</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如有</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公布的该工程</w:t>
      </w:r>
      <w:r>
        <w:rPr>
          <w:rFonts w:hint="eastAsia" w:ascii="宋体" w:hAnsi="宋体" w:eastAsia="宋体" w:cs="宋体"/>
          <w:color w:val="auto"/>
          <w:sz w:val="21"/>
          <w:szCs w:val="21"/>
          <w:highlight w:val="none"/>
          <w:lang w:eastAsia="zh-CN"/>
        </w:rPr>
        <w:t>施工图预算价</w:t>
      </w:r>
      <w:r>
        <w:rPr>
          <w:rFonts w:hint="eastAsia" w:ascii="宋体" w:hAnsi="宋体" w:eastAsia="宋体" w:cs="宋体"/>
          <w:color w:val="auto"/>
          <w:sz w:val="21"/>
          <w:szCs w:val="21"/>
          <w:highlight w:val="none"/>
        </w:rPr>
        <w:t>（或工程量清单），并根据招标项目的特点，结合市场情况和企业自身竞争能力自行确定投标报价。供应商的报价将被视为供应商完全理解了工程量清单和施工图纸中的全部项目、数量及内容。供应商应结合现场施工条件，将工程的所有临时设施（如施工工棚、施工排水、施工通道等）、场地租用、保险费、税、停水、停电以及排除影响施工的各类障碍等考虑在投标报价中。</w:t>
      </w:r>
    </w:p>
    <w:p w14:paraId="2441AF5D">
      <w:pPr>
        <w:numPr>
          <w:ilvl w:val="0"/>
          <w:numId w:val="10"/>
        </w:numPr>
        <w:spacing w:line="360" w:lineRule="auto"/>
        <w:ind w:left="0" w:leftChars="0" w:firstLine="400" w:firstLineChars="0"/>
        <w:jc w:val="left"/>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供应商的投标价，应是完成本项目招标范围内的全部工程的投标总报价。投标人应认真填写工程量清单中所列明的所有需要填写综合单价和合价的项目，且只允许有一个报价。投标人没有填入综合单价和合价的项目，招标人将不予支付，并认为该费用已包括在工程量清单中其他项目的综合单价和合价中。</w:t>
      </w:r>
    </w:p>
    <w:p w14:paraId="06D2350B">
      <w:pPr>
        <w:numPr>
          <w:ilvl w:val="0"/>
          <w:numId w:val="10"/>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供应商</w:t>
      </w:r>
      <w:r>
        <w:rPr>
          <w:rFonts w:hint="eastAsia" w:ascii="宋体" w:hAnsi="宋体" w:eastAsia="宋体" w:cs="宋体"/>
          <w:color w:val="auto"/>
          <w:sz w:val="21"/>
          <w:szCs w:val="21"/>
          <w:highlight w:val="none"/>
        </w:rPr>
        <w:t>按工程量清单（或调整后工程量清单）报价，中标后按招标图纸（招标范围内项目）施工。除了因不可预见、</w:t>
      </w:r>
      <w:r>
        <w:rPr>
          <w:rFonts w:hint="eastAsia" w:ascii="宋体" w:hAnsi="宋体" w:eastAsia="宋体" w:cs="宋体"/>
          <w:color w:val="auto"/>
          <w:sz w:val="21"/>
          <w:szCs w:val="21"/>
          <w:highlight w:val="none"/>
          <w:lang w:eastAsia="zh-CN"/>
        </w:rPr>
        <w:t>采购人</w:t>
      </w:r>
      <w:r>
        <w:rPr>
          <w:rFonts w:hint="eastAsia" w:ascii="宋体" w:hAnsi="宋体" w:eastAsia="宋体" w:cs="宋体"/>
          <w:color w:val="auto"/>
          <w:sz w:val="21"/>
          <w:szCs w:val="21"/>
          <w:highlight w:val="none"/>
        </w:rPr>
        <w:t>原因、设计修改、材料或人工单价调整按</w:t>
      </w:r>
      <w:r>
        <w:rPr>
          <w:rFonts w:hint="eastAsia" w:ascii="宋体" w:hAnsi="宋体" w:eastAsia="宋体" w:cs="宋体"/>
          <w:color w:val="auto"/>
          <w:sz w:val="21"/>
          <w:szCs w:val="21"/>
          <w:highlight w:val="none"/>
          <w:lang w:eastAsia="zh-CN"/>
        </w:rPr>
        <w:t>财政局</w:t>
      </w:r>
      <w:r>
        <w:rPr>
          <w:rFonts w:hint="eastAsia" w:ascii="宋体" w:hAnsi="宋体" w:eastAsia="宋体" w:cs="宋体"/>
          <w:color w:val="auto"/>
          <w:sz w:val="21"/>
          <w:szCs w:val="21"/>
          <w:highlight w:val="none"/>
        </w:rPr>
        <w:t>文件执行等特别说明的原因或其他</w:t>
      </w:r>
      <w:r>
        <w:rPr>
          <w:rFonts w:hint="eastAsia" w:ascii="宋体" w:hAnsi="宋体" w:eastAsia="宋体" w:cs="宋体"/>
          <w:color w:val="auto"/>
          <w:sz w:val="21"/>
          <w:szCs w:val="21"/>
          <w:highlight w:val="none"/>
          <w:lang w:eastAsia="zh-CN"/>
        </w:rPr>
        <w:t>采购人</w:t>
      </w:r>
      <w:r>
        <w:rPr>
          <w:rFonts w:hint="eastAsia" w:ascii="宋体" w:hAnsi="宋体" w:eastAsia="宋体" w:cs="宋体"/>
          <w:color w:val="auto"/>
          <w:sz w:val="21"/>
          <w:szCs w:val="21"/>
          <w:highlight w:val="none"/>
        </w:rPr>
        <w:t>特别同意等因素可以调整价格外，报价不予调整。</w:t>
      </w:r>
    </w:p>
    <w:p w14:paraId="6812C857">
      <w:pPr>
        <w:numPr>
          <w:ilvl w:val="0"/>
          <w:numId w:val="10"/>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供应商</w:t>
      </w:r>
      <w:r>
        <w:rPr>
          <w:rFonts w:hint="eastAsia" w:ascii="宋体" w:hAnsi="宋体" w:eastAsia="宋体" w:cs="宋体"/>
          <w:color w:val="auto"/>
          <w:sz w:val="21"/>
          <w:szCs w:val="21"/>
          <w:highlight w:val="none"/>
        </w:rPr>
        <w:t>应做好对本工程周边建、构筑物等的保护工作，尤其要采取相应有效的措施做好对沿线埋设管线的保护，因措施不当，防护不力而引发的问题概由中标人负责，此措施等费用包含在投标总报价中。</w:t>
      </w:r>
    </w:p>
    <w:p w14:paraId="555FEDF5">
      <w:pPr>
        <w:numPr>
          <w:ilvl w:val="0"/>
          <w:numId w:val="10"/>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供应商</w:t>
      </w:r>
      <w:r>
        <w:rPr>
          <w:rFonts w:hint="eastAsia" w:ascii="宋体" w:hAnsi="宋体" w:eastAsia="宋体" w:cs="宋体"/>
          <w:color w:val="auto"/>
          <w:sz w:val="21"/>
          <w:szCs w:val="21"/>
          <w:highlight w:val="none"/>
        </w:rPr>
        <w:t>在投标时参考的主材品牌</w:t>
      </w:r>
      <w:r>
        <w:rPr>
          <w:rFonts w:hint="eastAsia" w:ascii="宋体" w:hAnsi="宋体" w:eastAsia="宋体" w:cs="宋体"/>
          <w:color w:val="auto"/>
          <w:sz w:val="21"/>
          <w:szCs w:val="21"/>
          <w:highlight w:val="none"/>
          <w:lang w:val="en-US" w:eastAsia="zh-CN"/>
        </w:rPr>
        <w:t>应</w:t>
      </w:r>
      <w:r>
        <w:rPr>
          <w:rFonts w:hint="eastAsia" w:ascii="宋体" w:hAnsi="宋体" w:eastAsia="宋体" w:cs="宋体"/>
          <w:color w:val="auto"/>
          <w:sz w:val="21"/>
          <w:szCs w:val="21"/>
          <w:highlight w:val="none"/>
        </w:rPr>
        <w:t>满足设计、国家有关技术标准。在工程实施阶段，</w:t>
      </w:r>
      <w:r>
        <w:rPr>
          <w:rFonts w:hint="eastAsia" w:ascii="宋体" w:hAnsi="宋体" w:eastAsia="宋体" w:cs="宋体"/>
          <w:color w:val="auto"/>
          <w:sz w:val="21"/>
          <w:szCs w:val="21"/>
          <w:highlight w:val="none"/>
          <w:lang w:eastAsia="zh-CN"/>
        </w:rPr>
        <w:t>供应商</w:t>
      </w:r>
      <w:r>
        <w:rPr>
          <w:rFonts w:hint="eastAsia" w:ascii="宋体" w:hAnsi="宋体" w:eastAsia="宋体" w:cs="宋体"/>
          <w:color w:val="auto"/>
          <w:sz w:val="21"/>
          <w:szCs w:val="21"/>
          <w:highlight w:val="none"/>
        </w:rPr>
        <w:t>采购的主材产品，需经监理</w:t>
      </w:r>
      <w:r>
        <w:rPr>
          <w:rFonts w:hint="eastAsia" w:ascii="宋体" w:hAnsi="宋体" w:eastAsia="宋体" w:cs="宋体"/>
          <w:color w:val="auto"/>
          <w:sz w:val="21"/>
          <w:szCs w:val="21"/>
          <w:highlight w:val="none"/>
          <w:lang w:val="en-US" w:eastAsia="zh-CN"/>
        </w:rPr>
        <w:t>及采购人</w:t>
      </w:r>
      <w:r>
        <w:rPr>
          <w:rFonts w:hint="eastAsia" w:ascii="宋体" w:hAnsi="宋体" w:eastAsia="宋体" w:cs="宋体"/>
          <w:color w:val="auto"/>
          <w:sz w:val="21"/>
          <w:szCs w:val="21"/>
          <w:highlight w:val="none"/>
        </w:rPr>
        <w:t>审批同意方可采购。</w:t>
      </w:r>
    </w:p>
    <w:p w14:paraId="75ADF180">
      <w:pPr>
        <w:numPr>
          <w:ilvl w:val="0"/>
          <w:numId w:val="10"/>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应核对全部工程量清单（或调整后工程量清单）、图纸项目和招标范围说明，如果认为工程量清单存在项目特征描述不符、错漏或误差，或对施工图设计文件有疑问的，应在答疑会前规定时间内向</w:t>
      </w:r>
      <w:r>
        <w:rPr>
          <w:rFonts w:hint="eastAsia" w:ascii="宋体" w:hAnsi="宋体" w:eastAsia="宋体" w:cs="宋体"/>
          <w:color w:val="auto"/>
          <w:highlight w:val="none"/>
          <w:lang w:eastAsia="zh-CN"/>
        </w:rPr>
        <w:t>采购人</w:t>
      </w:r>
      <w:r>
        <w:rPr>
          <w:rFonts w:hint="eastAsia" w:ascii="宋体" w:hAnsi="宋体" w:eastAsia="宋体" w:cs="宋体"/>
          <w:color w:val="auto"/>
          <w:highlight w:val="none"/>
        </w:rPr>
        <w:t>提出书面意见（书面意见中必须提供具体、完整的工程量计算式），</w:t>
      </w:r>
      <w:r>
        <w:rPr>
          <w:rFonts w:hint="eastAsia" w:ascii="宋体" w:hAnsi="宋体" w:eastAsia="宋体" w:cs="宋体"/>
          <w:color w:val="auto"/>
          <w:highlight w:val="none"/>
          <w:lang w:eastAsia="zh-CN"/>
        </w:rPr>
        <w:t>采购人</w:t>
      </w:r>
      <w:r>
        <w:rPr>
          <w:rFonts w:hint="eastAsia" w:ascii="宋体" w:hAnsi="宋体" w:eastAsia="宋体" w:cs="宋体"/>
          <w:color w:val="auto"/>
          <w:highlight w:val="none"/>
        </w:rPr>
        <w:t>于答疑会统一书面回复</w:t>
      </w:r>
      <w:r>
        <w:rPr>
          <w:rFonts w:hint="eastAsia" w:ascii="宋体" w:hAnsi="宋体" w:eastAsia="宋体" w:cs="宋体"/>
          <w:color w:val="auto"/>
          <w:highlight w:val="none"/>
          <w:lang w:eastAsia="zh-CN"/>
        </w:rPr>
        <w:t>。</w:t>
      </w:r>
    </w:p>
    <w:p w14:paraId="38252E44">
      <w:pPr>
        <w:numPr>
          <w:ilvl w:val="0"/>
          <w:numId w:val="10"/>
        </w:numPr>
        <w:spacing w:line="360" w:lineRule="auto"/>
        <w:ind w:left="0" w:leftChars="0" w:firstLine="400" w:firstLine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采购人提出合理的</w:t>
      </w:r>
      <w:r>
        <w:rPr>
          <w:rFonts w:hint="eastAsia" w:ascii="宋体" w:hAnsi="宋体" w:eastAsia="宋体" w:cs="宋体"/>
          <w:color w:val="auto"/>
          <w:sz w:val="21"/>
          <w:szCs w:val="21"/>
          <w:highlight w:val="none"/>
        </w:rPr>
        <w:t>变更、修改设计的工程内容成交供应商不得拒绝承担。</w:t>
      </w:r>
    </w:p>
    <w:p w14:paraId="70882863">
      <w:pPr>
        <w:numPr>
          <w:ilvl w:val="0"/>
          <w:numId w:val="10"/>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设计变更及合同价款调整</w:t>
      </w:r>
    </w:p>
    <w:p w14:paraId="14E89040">
      <w:pPr>
        <w:pageBreakBefore w:val="0"/>
        <w:kinsoku/>
        <w:wordWrap/>
        <w:overflowPunct/>
        <w:topLinePunct w:val="0"/>
        <w:bidi w:val="0"/>
        <w:spacing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由于非承包方原因，由设计单位所作的工程修改、变更，按以下方式结算：</w:t>
      </w:r>
    </w:p>
    <w:p w14:paraId="31C903B6">
      <w:pPr>
        <w:pageBreakBefore w:val="0"/>
        <w:kinsoku/>
        <w:wordWrap/>
        <w:overflowPunct/>
        <w:topLinePunct w:val="0"/>
        <w:bidi w:val="0"/>
        <w:spacing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合同中已有</w:t>
      </w:r>
      <w:r>
        <w:rPr>
          <w:rFonts w:hint="eastAsia" w:ascii="宋体" w:hAnsi="宋体" w:eastAsia="宋体" w:cs="宋体"/>
          <w:color w:val="auto"/>
          <w:sz w:val="21"/>
          <w:szCs w:val="21"/>
          <w:highlight w:val="none"/>
          <w:lang w:val="en-US" w:eastAsia="zh-CN"/>
        </w:rPr>
        <w:t>适用</w:t>
      </w:r>
      <w:r>
        <w:rPr>
          <w:rFonts w:hint="eastAsia" w:ascii="宋体" w:hAnsi="宋体" w:eastAsia="宋体" w:cs="宋体"/>
          <w:color w:val="auto"/>
          <w:sz w:val="21"/>
          <w:szCs w:val="21"/>
          <w:highlight w:val="none"/>
        </w:rPr>
        <w:t>于变更工程的单价，按合同已有的单价变更合同价款。</w:t>
      </w:r>
    </w:p>
    <w:p w14:paraId="0DD36A5C">
      <w:pPr>
        <w:pageBreakBefore w:val="0"/>
        <w:kinsoku/>
        <w:wordWrap/>
        <w:overflowPunct/>
        <w:topLinePunct w:val="0"/>
        <w:bidi w:val="0"/>
        <w:spacing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合同中已有类似于变更工程的单价，可参照类似单价变更合同价款。</w:t>
      </w:r>
    </w:p>
    <w:p w14:paraId="527C0A9B">
      <w:pPr>
        <w:pageBreakBefore w:val="0"/>
        <w:kinsoku/>
        <w:wordWrap/>
        <w:overflowPunct/>
        <w:topLinePunct w:val="0"/>
        <w:bidi w:val="0"/>
        <w:spacing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3）合同中没有</w:t>
      </w:r>
      <w:r>
        <w:rPr>
          <w:rFonts w:hint="eastAsia" w:ascii="宋体" w:hAnsi="宋体" w:eastAsia="宋体" w:cs="宋体"/>
          <w:color w:val="auto"/>
          <w:sz w:val="21"/>
          <w:szCs w:val="21"/>
          <w:highlight w:val="none"/>
          <w:lang w:val="en-US" w:eastAsia="zh-CN"/>
        </w:rPr>
        <w:t>适用</w:t>
      </w:r>
      <w:r>
        <w:rPr>
          <w:rFonts w:hint="eastAsia" w:ascii="宋体" w:hAnsi="宋体" w:eastAsia="宋体" w:cs="宋体"/>
          <w:color w:val="auto"/>
          <w:sz w:val="21"/>
          <w:szCs w:val="21"/>
          <w:highlight w:val="none"/>
        </w:rPr>
        <w:t>或类似变更工程的单价，按照广东省建设工程计价依据、工程所在地造价管理机构有关规定和发布的价格信息，依据工程变更签证，由承包方提出适当的变更价格，按本招标说明的规定作出预算经市财政局审核后结算；结算单价按中标价与招标控制价的相应比例折算执行。变更、修改设计的工程内容施工单位不得拒绝承担，所增减工程的工程量不超过中标工程量的10%，工期不作调整。如因设计、规划调整变更等原因，招标人有权调整招标范围和内容。</w:t>
      </w:r>
    </w:p>
    <w:p w14:paraId="4F26DC1A">
      <w:pPr>
        <w:pStyle w:val="2"/>
        <w:numPr>
          <w:ilvl w:val="0"/>
          <w:numId w:val="1"/>
        </w:numPr>
        <w:bidi w:val="0"/>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质量保证期及售后</w:t>
      </w:r>
    </w:p>
    <w:p w14:paraId="71CA7E5F">
      <w:pPr>
        <w:numPr>
          <w:ilvl w:val="0"/>
          <w:numId w:val="11"/>
        </w:numPr>
        <w:spacing w:line="360" w:lineRule="auto"/>
        <w:ind w:left="0" w:leftChars="0" w:firstLine="400" w:firstLine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本项目</w:t>
      </w:r>
      <w:r>
        <w:rPr>
          <w:rFonts w:hint="eastAsia" w:ascii="宋体" w:hAnsi="宋体" w:eastAsia="宋体" w:cs="宋体"/>
          <w:color w:val="auto"/>
          <w:highlight w:val="none"/>
        </w:rPr>
        <w:t>工程</w:t>
      </w:r>
      <w:r>
        <w:rPr>
          <w:rFonts w:hint="eastAsia" w:ascii="宋体" w:hAnsi="宋体" w:eastAsia="宋体" w:cs="宋体"/>
          <w:color w:val="auto"/>
          <w:highlight w:val="none"/>
          <w:lang w:val="en-US" w:eastAsia="zh-CN"/>
        </w:rPr>
        <w:t>整体</w:t>
      </w:r>
      <w:r>
        <w:rPr>
          <w:rFonts w:hint="eastAsia" w:ascii="宋体" w:hAnsi="宋体" w:eastAsia="宋体" w:cs="宋体"/>
          <w:color w:val="auto"/>
          <w:highlight w:val="none"/>
        </w:rPr>
        <w:t>质量保修期</w:t>
      </w:r>
      <w:r>
        <w:rPr>
          <w:rFonts w:hint="eastAsia" w:ascii="宋体" w:hAnsi="宋体" w:eastAsia="宋体" w:cs="宋体"/>
          <w:color w:val="auto"/>
          <w:highlight w:val="none"/>
          <w:lang w:val="en-US" w:eastAsia="zh-CN"/>
        </w:rPr>
        <w:t>为5年</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其中，草皮质保期</w:t>
      </w:r>
      <w:r>
        <w:rPr>
          <w:rFonts w:hint="eastAsia" w:ascii="宋体" w:hAnsi="宋体" w:eastAsia="宋体" w:cs="宋体"/>
          <w:color w:val="auto"/>
          <w:sz w:val="21"/>
          <w:szCs w:val="21"/>
          <w:highlight w:val="none"/>
        </w:rPr>
        <w:t>不少于</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年</w:t>
      </w:r>
      <w:r>
        <w:rPr>
          <w:rFonts w:hint="eastAsia" w:ascii="宋体" w:hAnsi="宋体" w:eastAsia="宋体" w:cs="宋体"/>
          <w:color w:val="auto"/>
          <w:highlight w:val="none"/>
          <w:lang w:val="en-US" w:eastAsia="zh-CN"/>
        </w:rPr>
        <w:t>。</w:t>
      </w:r>
      <w:r>
        <w:rPr>
          <w:rFonts w:hint="eastAsia" w:ascii="宋体" w:hAnsi="宋体" w:eastAsia="宋体" w:cs="宋体"/>
          <w:color w:val="auto"/>
          <w:sz w:val="21"/>
          <w:szCs w:val="21"/>
          <w:highlight w:val="none"/>
        </w:rPr>
        <w:t>质保期</w:t>
      </w:r>
      <w:r>
        <w:rPr>
          <w:rFonts w:hint="eastAsia" w:ascii="宋体" w:hAnsi="宋体" w:eastAsia="宋体" w:cs="宋体"/>
          <w:color w:val="auto"/>
          <w:highlight w:val="none"/>
          <w:lang w:val="en-US" w:eastAsia="zh-CN"/>
        </w:rPr>
        <w:t>内因质量原因导致需要修复的，均由成交供应商负责。</w:t>
      </w:r>
      <w:r>
        <w:rPr>
          <w:rFonts w:hint="eastAsia" w:ascii="宋体" w:hAnsi="宋体" w:eastAsia="宋体" w:cs="宋体"/>
          <w:color w:val="auto"/>
          <w:sz w:val="21"/>
          <w:szCs w:val="21"/>
          <w:highlight w:val="none"/>
        </w:rPr>
        <w:t>质保期自竣工验收合格之日起计算。在质保期内因施工和材料、设备而造成的返修和维修的，所有费用由成交供应商负责。</w:t>
      </w:r>
    </w:p>
    <w:p w14:paraId="76005CC5">
      <w:pPr>
        <w:numPr>
          <w:ilvl w:val="0"/>
          <w:numId w:val="11"/>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在质保期内</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成交供应商接到采购人</w:t>
      </w:r>
      <w:r>
        <w:rPr>
          <w:rFonts w:hint="eastAsia" w:ascii="宋体" w:hAnsi="宋体" w:eastAsia="宋体" w:cs="宋体"/>
          <w:color w:val="auto"/>
          <w:sz w:val="21"/>
          <w:szCs w:val="21"/>
          <w:highlight w:val="none"/>
          <w:lang w:val="en-US" w:eastAsia="zh-CN"/>
        </w:rPr>
        <w:t>的售后要求</w:t>
      </w:r>
      <w:r>
        <w:rPr>
          <w:rFonts w:hint="eastAsia" w:ascii="宋体" w:hAnsi="宋体" w:eastAsia="宋体" w:cs="宋体"/>
          <w:color w:val="auto"/>
          <w:sz w:val="21"/>
          <w:szCs w:val="21"/>
          <w:highlight w:val="none"/>
        </w:rPr>
        <w:t>后，</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小时内作出响应，</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小时内到现场解决出现的质量或者技术问题</w:t>
      </w:r>
      <w:r>
        <w:rPr>
          <w:rFonts w:hint="eastAsia" w:ascii="宋体" w:hAnsi="宋体" w:eastAsia="宋体" w:cs="宋体"/>
          <w:color w:val="auto"/>
          <w:sz w:val="21"/>
          <w:szCs w:val="21"/>
          <w:highlight w:val="none"/>
          <w:lang w:eastAsia="zh-CN"/>
        </w:rPr>
        <w:t>。</w:t>
      </w:r>
    </w:p>
    <w:p w14:paraId="712193A6">
      <w:pPr>
        <w:numPr>
          <w:ilvl w:val="0"/>
          <w:numId w:val="11"/>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供应商应根据本项目设置合理的应急预案。如</w:t>
      </w:r>
      <w:r>
        <w:rPr>
          <w:rFonts w:hint="eastAsia" w:ascii="宋体" w:hAnsi="宋体" w:eastAsia="宋体" w:cs="宋体"/>
          <w:color w:val="auto"/>
          <w:sz w:val="21"/>
          <w:szCs w:val="21"/>
          <w:highlight w:val="none"/>
        </w:rPr>
        <w:t>发生须紧急抢修事故的,成交供应商在接到事故通知后</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应当立即到达事故现场抢修。除不可抗力外，费用全部由成交供应商承担。</w:t>
      </w:r>
    </w:p>
    <w:p w14:paraId="778A9BBC">
      <w:pPr>
        <w:numPr>
          <w:ilvl w:val="0"/>
          <w:numId w:val="11"/>
        </w:numPr>
        <w:spacing w:line="360" w:lineRule="auto"/>
        <w:ind w:left="0" w:leftChars="0" w:firstLine="40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质保期内产品质量经权威机构鉴定不符合质量要求的，</w:t>
      </w:r>
      <w:r>
        <w:rPr>
          <w:rFonts w:hint="eastAsia" w:ascii="宋体" w:hAnsi="宋体" w:eastAsia="宋体" w:cs="宋体"/>
          <w:color w:val="auto"/>
          <w:sz w:val="21"/>
          <w:szCs w:val="21"/>
          <w:highlight w:val="none"/>
          <w:lang w:val="en-US" w:eastAsia="zh-CN"/>
        </w:rPr>
        <w:t>成交供应商须</w:t>
      </w:r>
      <w:r>
        <w:rPr>
          <w:rFonts w:hint="eastAsia" w:ascii="宋体" w:hAnsi="宋体" w:eastAsia="宋体" w:cs="宋体"/>
          <w:color w:val="auto"/>
          <w:sz w:val="21"/>
          <w:szCs w:val="21"/>
          <w:highlight w:val="none"/>
        </w:rPr>
        <w:t>承担</w:t>
      </w:r>
      <w:r>
        <w:rPr>
          <w:rFonts w:hint="eastAsia" w:ascii="宋体" w:hAnsi="宋体" w:eastAsia="宋体" w:cs="宋体"/>
          <w:color w:val="auto"/>
          <w:sz w:val="21"/>
          <w:szCs w:val="21"/>
          <w:highlight w:val="none"/>
          <w:lang w:val="en-US" w:eastAsia="zh-CN"/>
        </w:rPr>
        <w:t>全部法律及经济</w:t>
      </w:r>
      <w:r>
        <w:rPr>
          <w:rFonts w:hint="eastAsia" w:ascii="宋体" w:hAnsi="宋体" w:eastAsia="宋体" w:cs="宋体"/>
          <w:color w:val="auto"/>
          <w:sz w:val="21"/>
          <w:szCs w:val="21"/>
          <w:highlight w:val="none"/>
        </w:rPr>
        <w:t>责任。</w:t>
      </w:r>
    </w:p>
    <w:p w14:paraId="6A6C1557">
      <w:pPr>
        <w:pStyle w:val="2"/>
        <w:numPr>
          <w:ilvl w:val="0"/>
          <w:numId w:val="1"/>
        </w:numPr>
        <w:bidi w:val="0"/>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工程竣工资料要求</w:t>
      </w:r>
    </w:p>
    <w:p w14:paraId="75697A56">
      <w:pPr>
        <w:numPr>
          <w:ilvl w:val="0"/>
          <w:numId w:val="12"/>
        </w:numPr>
        <w:spacing w:line="360" w:lineRule="auto"/>
        <w:ind w:left="0" w:leftChars="0" w:firstLine="400" w:firstLine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成交供应商应</w:t>
      </w:r>
      <w:r>
        <w:rPr>
          <w:rFonts w:hint="eastAsia" w:ascii="宋体" w:hAnsi="宋体" w:eastAsia="宋体" w:cs="宋体"/>
          <w:color w:val="auto"/>
          <w:highlight w:val="none"/>
        </w:rPr>
        <w:t>按相关专业部门的要求，编制竣工技术文件，</w:t>
      </w:r>
      <w:r>
        <w:rPr>
          <w:rFonts w:hint="eastAsia" w:ascii="宋体" w:hAnsi="宋体" w:eastAsia="宋体" w:cs="宋体"/>
          <w:color w:val="auto"/>
          <w:sz w:val="21"/>
          <w:szCs w:val="21"/>
          <w:highlight w:val="none"/>
        </w:rPr>
        <w:t>在工程施工过程中及时做好工程档案的收集、汇总、整理工作。</w:t>
      </w:r>
    </w:p>
    <w:p w14:paraId="3E04F6F8">
      <w:pPr>
        <w:pageBreakBefore w:val="0"/>
        <w:numPr>
          <w:ilvl w:val="0"/>
          <w:numId w:val="12"/>
        </w:numPr>
        <w:kinsoku/>
        <w:wordWrap/>
        <w:overflowPunct/>
        <w:topLinePunct w:val="0"/>
        <w:bidi w:val="0"/>
        <w:spacing w:line="360" w:lineRule="auto"/>
        <w:ind w:left="0" w:leftChars="0" w:firstLine="400" w:firstLineChars="0"/>
        <w:textAlignment w:val="auto"/>
        <w:rPr>
          <w:rFonts w:hint="eastAsia" w:ascii="宋体" w:hAnsi="宋体" w:eastAsia="宋体" w:cs="宋体"/>
          <w:color w:val="auto"/>
          <w:highlight w:val="none"/>
        </w:rPr>
      </w:pPr>
      <w:r>
        <w:rPr>
          <w:rFonts w:hint="eastAsia" w:ascii="宋体" w:hAnsi="宋体" w:eastAsia="宋体" w:cs="宋体"/>
          <w:color w:val="auto"/>
          <w:highlight w:val="none"/>
        </w:rPr>
        <w:t>工程竣工验收报告经招标人认可后，承包单位按中山市财政局有关要求向</w:t>
      </w:r>
      <w:r>
        <w:rPr>
          <w:rFonts w:hint="eastAsia" w:ascii="宋体" w:hAnsi="宋体" w:eastAsia="宋体" w:cs="宋体"/>
          <w:color w:val="auto"/>
          <w:highlight w:val="none"/>
          <w:lang w:val="en-US" w:eastAsia="zh-CN"/>
        </w:rPr>
        <w:t>采购</w:t>
      </w:r>
      <w:r>
        <w:rPr>
          <w:rFonts w:hint="eastAsia" w:ascii="宋体" w:hAnsi="宋体" w:eastAsia="宋体" w:cs="宋体"/>
          <w:color w:val="auto"/>
          <w:highlight w:val="none"/>
        </w:rPr>
        <w:t>人递交竣工结算报告及完整的结算资料，双方按照协议书约定的合同价款及专用条款约定的合同价款调整内容，进行工程竣工结算。</w:t>
      </w:r>
    </w:p>
    <w:p w14:paraId="0C779625">
      <w:pPr>
        <w:numPr>
          <w:ilvl w:val="0"/>
          <w:numId w:val="12"/>
        </w:numPr>
        <w:spacing w:line="360" w:lineRule="auto"/>
        <w:ind w:left="0" w:leftChars="0" w:firstLine="400" w:firstLine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成交供应商应向采购人提供符合国家档案部门要求，按规格编制成册的完整的工程竣工图及有关的工程技术档案资料一式</w:t>
      </w:r>
      <w:r>
        <w:rPr>
          <w:rFonts w:hint="eastAsia" w:ascii="宋体" w:hAnsi="宋体" w:eastAsia="宋体" w:cs="宋体"/>
          <w:color w:val="auto"/>
          <w:sz w:val="21"/>
          <w:szCs w:val="21"/>
          <w:highlight w:val="none"/>
          <w:lang w:val="en-US" w:eastAsia="zh-CN"/>
        </w:rPr>
        <w:t>两</w:t>
      </w:r>
      <w:r>
        <w:rPr>
          <w:rFonts w:hint="eastAsia" w:ascii="宋体" w:hAnsi="宋体" w:eastAsia="宋体" w:cs="宋体"/>
          <w:color w:val="auto"/>
          <w:sz w:val="21"/>
          <w:szCs w:val="21"/>
          <w:highlight w:val="none"/>
        </w:rPr>
        <w:t>份（其中原件一份、复印件</w:t>
      </w:r>
      <w:r>
        <w:rPr>
          <w:rFonts w:hint="eastAsia" w:ascii="宋体" w:hAnsi="宋体" w:eastAsia="宋体" w:cs="宋体"/>
          <w:color w:val="auto"/>
          <w:sz w:val="21"/>
          <w:szCs w:val="21"/>
          <w:highlight w:val="none"/>
          <w:lang w:val="en-US" w:eastAsia="zh-CN"/>
        </w:rPr>
        <w:t>一</w:t>
      </w:r>
      <w:r>
        <w:rPr>
          <w:rFonts w:hint="eastAsia" w:ascii="宋体" w:hAnsi="宋体" w:eastAsia="宋体" w:cs="宋体"/>
          <w:color w:val="auto"/>
          <w:sz w:val="21"/>
          <w:szCs w:val="21"/>
          <w:highlight w:val="none"/>
        </w:rPr>
        <w:t>份）提交采购人归档，并同时提交有关归档的证明文件。</w:t>
      </w:r>
    </w:p>
    <w:p w14:paraId="4A212A15">
      <w:pPr>
        <w:pStyle w:val="2"/>
        <w:numPr>
          <w:ilvl w:val="0"/>
          <w:numId w:val="1"/>
        </w:numPr>
        <w:bidi w:val="0"/>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进度要求</w:t>
      </w:r>
    </w:p>
    <w:p w14:paraId="09017B71">
      <w:pPr>
        <w:numPr>
          <w:ilvl w:val="0"/>
          <w:numId w:val="13"/>
        </w:numPr>
        <w:spacing w:line="360" w:lineRule="auto"/>
        <w:ind w:left="0" w:leftChars="0" w:firstLine="400" w:firstLine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成交供应商应于施工合同生效之日起三日内进场进行施工准备，按照成交供应商编制的实施性施工组织设计方案，经监理单位审批后报采购人备案后实施。</w:t>
      </w:r>
    </w:p>
    <w:p w14:paraId="6F506501">
      <w:pPr>
        <w:numPr>
          <w:ilvl w:val="0"/>
          <w:numId w:val="13"/>
        </w:numPr>
        <w:spacing w:line="360" w:lineRule="auto"/>
        <w:ind w:left="0" w:leftChars="0" w:firstLine="400" w:firstLine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成交供应商应严格按照报价时所拟定的各施工阶段的形象进度控制施工进度。</w:t>
      </w:r>
    </w:p>
    <w:p w14:paraId="11DC441B">
      <w:pPr>
        <w:numPr>
          <w:ilvl w:val="0"/>
          <w:numId w:val="13"/>
        </w:numPr>
        <w:spacing w:line="360" w:lineRule="auto"/>
        <w:ind w:left="0" w:leftChars="0" w:firstLine="400" w:firstLine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如未经采购人认可的特殊原因，成交供应商在工期落后的情况下，必须要有实际行动尽全力去补回施工进度。</w:t>
      </w:r>
    </w:p>
    <w:p w14:paraId="2CE10CB9">
      <w:pPr>
        <w:pStyle w:val="2"/>
        <w:numPr>
          <w:ilvl w:val="0"/>
          <w:numId w:val="1"/>
        </w:numPr>
        <w:bidi w:val="0"/>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样品</w:t>
      </w:r>
    </w:p>
    <w:p w14:paraId="67E333E6">
      <w:pPr>
        <w:numPr>
          <w:ilvl w:val="0"/>
          <w:numId w:val="14"/>
        </w:numPr>
        <w:spacing w:line="360" w:lineRule="auto"/>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供应商投标时</w:t>
      </w:r>
      <w:r>
        <w:rPr>
          <w:rFonts w:hint="eastAsia" w:ascii="宋体" w:hAnsi="宋体" w:eastAsia="宋体" w:cs="宋体"/>
          <w:color w:val="auto"/>
          <w:highlight w:val="none"/>
        </w:rPr>
        <w:t>需提供</w:t>
      </w:r>
      <w:r>
        <w:rPr>
          <w:rFonts w:hint="eastAsia" w:ascii="宋体" w:hAnsi="宋体" w:eastAsia="宋体" w:cs="宋体"/>
          <w:color w:val="auto"/>
          <w:highlight w:val="none"/>
          <w:lang w:val="en-US" w:eastAsia="zh-CN"/>
        </w:rPr>
        <w:t>橡胶跑道</w:t>
      </w:r>
      <w:r>
        <w:rPr>
          <w:rFonts w:hint="eastAsia" w:ascii="宋体" w:hAnsi="宋体" w:eastAsia="宋体" w:cs="宋体"/>
          <w:color w:val="auto"/>
          <w:highlight w:val="none"/>
        </w:rPr>
        <w:t>的样品</w:t>
      </w:r>
      <w:r>
        <w:rPr>
          <w:rFonts w:hint="eastAsia" w:ascii="宋体" w:hAnsi="宋体" w:eastAsia="宋体" w:cs="宋体"/>
          <w:color w:val="auto"/>
          <w:highlight w:val="none"/>
          <w:lang w:val="en-US" w:eastAsia="zh-CN"/>
        </w:rPr>
        <w:t>1块，规格不小于15cm*15cm</w:t>
      </w:r>
      <w:r>
        <w:rPr>
          <w:rFonts w:hint="eastAsia" w:ascii="宋体" w:hAnsi="宋体" w:eastAsia="宋体" w:cs="宋体"/>
          <w:color w:val="auto"/>
          <w:highlight w:val="none"/>
        </w:rPr>
        <w:t>。</w:t>
      </w:r>
    </w:p>
    <w:p w14:paraId="3A8B7464">
      <w:pPr>
        <w:numPr>
          <w:ilvl w:val="0"/>
          <w:numId w:val="14"/>
        </w:numPr>
        <w:spacing w:line="360" w:lineRule="auto"/>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因本项目为远程开标，</w:t>
      </w: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应于开标当天现场递交样品,递交样品时间:本项目开标当天上午09:00至09:30，逾期将不再接收投标样品。</w:t>
      </w:r>
    </w:p>
    <w:p w14:paraId="0C7E2323">
      <w:pPr>
        <w:numPr>
          <w:ilvl w:val="0"/>
          <w:numId w:val="14"/>
        </w:numPr>
        <w:spacing w:line="360" w:lineRule="auto"/>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递交样品地址:中山市博爱六路22号行政服务中心二楼中山市公共资源交易中心对应项目的开评标室(详见开标当天交易大厅开标室安排)。</w:t>
      </w:r>
    </w:p>
    <w:p w14:paraId="3E88170D">
      <w:pPr>
        <w:numPr>
          <w:ilvl w:val="0"/>
          <w:numId w:val="14"/>
        </w:numPr>
        <w:spacing w:line="360" w:lineRule="auto"/>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若因</w:t>
      </w: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逾期递交或未密封导致样品被拒收的，由</w:t>
      </w: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自行承担不良后果。</w:t>
      </w:r>
    </w:p>
    <w:p w14:paraId="666BF70D">
      <w:pPr>
        <w:numPr>
          <w:ilvl w:val="0"/>
          <w:numId w:val="14"/>
        </w:numPr>
        <w:spacing w:line="360" w:lineRule="auto"/>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所提供的样品采取整体密封包装（所提供的箱子</w:t>
      </w:r>
      <w:r>
        <w:rPr>
          <w:rFonts w:hint="eastAsia" w:ascii="宋体" w:hAnsi="宋体" w:eastAsia="宋体" w:cs="宋体"/>
          <w:color w:val="auto"/>
          <w:highlight w:val="none"/>
          <w:lang w:val="en-US" w:eastAsia="zh-CN"/>
        </w:rPr>
        <w:t>/袋子</w:t>
      </w:r>
      <w:r>
        <w:rPr>
          <w:rFonts w:hint="eastAsia" w:ascii="宋体" w:hAnsi="宋体" w:eastAsia="宋体" w:cs="宋体"/>
          <w:color w:val="auto"/>
          <w:highlight w:val="none"/>
        </w:rPr>
        <w:t>应为不透明箱体），密封包装上标明项目名称、</w:t>
      </w: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名称并加盖</w:t>
      </w: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公章。整体密封不透明包装内的样品</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可</w:t>
      </w:r>
      <w:r>
        <w:rPr>
          <w:rFonts w:hint="eastAsia" w:ascii="宋体" w:hAnsi="宋体" w:eastAsia="宋体" w:cs="宋体"/>
          <w:color w:val="auto"/>
          <w:highlight w:val="none"/>
          <w:lang w:val="en-US" w:eastAsia="zh-CN"/>
        </w:rPr>
        <w:t>于</w:t>
      </w:r>
      <w:r>
        <w:rPr>
          <w:rFonts w:hint="eastAsia" w:ascii="宋体" w:hAnsi="宋体" w:eastAsia="宋体" w:cs="宋体"/>
          <w:color w:val="auto"/>
          <w:highlight w:val="none"/>
        </w:rPr>
        <w:t>包装里面放用A4纸打印的样品具体信息</w:t>
      </w:r>
      <w:r>
        <w:rPr>
          <w:rFonts w:hint="eastAsia" w:ascii="宋体" w:hAnsi="宋体" w:eastAsia="宋体" w:cs="宋体"/>
          <w:b/>
          <w:bCs/>
          <w:color w:val="auto"/>
          <w:highlight w:val="none"/>
        </w:rPr>
        <w:t>（</w:t>
      </w:r>
      <w:r>
        <w:rPr>
          <w:rFonts w:hint="eastAsia" w:ascii="宋体" w:hAnsi="宋体" w:eastAsia="宋体" w:cs="宋体"/>
          <w:b/>
          <w:bCs/>
          <w:color w:val="auto"/>
          <w:highlight w:val="none"/>
          <w:lang w:val="en-US" w:eastAsia="zh-CN"/>
        </w:rPr>
        <w:t>如：</w:t>
      </w:r>
      <w:r>
        <w:rPr>
          <w:rFonts w:hint="eastAsia" w:ascii="宋体" w:hAnsi="宋体" w:eastAsia="宋体" w:cs="宋体"/>
          <w:b/>
          <w:bCs/>
          <w:color w:val="auto"/>
          <w:highlight w:val="none"/>
        </w:rPr>
        <w:t>样品名称、</w:t>
      </w:r>
      <w:r>
        <w:rPr>
          <w:rFonts w:hint="eastAsia" w:ascii="宋体" w:hAnsi="宋体" w:eastAsia="宋体" w:cs="宋体"/>
          <w:b/>
          <w:bCs/>
          <w:color w:val="auto"/>
          <w:highlight w:val="none"/>
          <w:lang w:val="en-US" w:eastAsia="zh-CN"/>
        </w:rPr>
        <w:t>材</w:t>
      </w:r>
      <w:r>
        <w:rPr>
          <w:rFonts w:hint="eastAsia" w:ascii="宋体" w:hAnsi="宋体" w:eastAsia="宋体" w:cs="宋体"/>
          <w:b/>
          <w:bCs/>
          <w:color w:val="auto"/>
          <w:highlight w:val="none"/>
        </w:rPr>
        <w:t>料、规格</w:t>
      </w: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等级</w:t>
      </w:r>
      <w:r>
        <w:rPr>
          <w:rFonts w:hint="eastAsia" w:ascii="宋体" w:hAnsi="宋体" w:eastAsia="宋体" w:cs="宋体"/>
          <w:b/>
          <w:bCs/>
          <w:color w:val="auto"/>
          <w:highlight w:val="none"/>
        </w:rPr>
        <w:t>等）</w:t>
      </w:r>
      <w:r>
        <w:rPr>
          <w:rFonts w:hint="eastAsia" w:ascii="宋体" w:hAnsi="宋体" w:eastAsia="宋体" w:cs="宋体"/>
          <w:color w:val="auto"/>
          <w:highlight w:val="none"/>
        </w:rPr>
        <w:t>。</w:t>
      </w:r>
    </w:p>
    <w:p w14:paraId="29E3F993">
      <w:pPr>
        <w:numPr>
          <w:ilvl w:val="0"/>
          <w:numId w:val="14"/>
        </w:numPr>
        <w:spacing w:line="360" w:lineRule="auto"/>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投标样品的提供是</w:t>
      </w: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对于投标文件中文字内容的补充，样品将作为评审时的重要依据之一。</w:t>
      </w:r>
    </w:p>
    <w:p w14:paraId="444ACF7D">
      <w:pPr>
        <w:numPr>
          <w:ilvl w:val="0"/>
          <w:numId w:val="14"/>
        </w:numPr>
        <w:spacing w:line="360" w:lineRule="auto"/>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关于样品的退还</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（1）采购人和采购代理机构对</w:t>
      </w: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所递交的样品的破损或质量问题不承担任何责任。</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（2）采购活动结束后，中标人提供的样品将被封存于采购人单位，并作为履约验收的参考依据。</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（3）未中标</w:t>
      </w: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的样品由</w:t>
      </w: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授权代表凭</w:t>
      </w: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公司开具的《领回投标样品授权书》在中标结果公布后7个工作日内自行到采购代理机构处取回，逾期将视为该</w:t>
      </w: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自动放弃该样品所有权，采购代理机构和采购人将自行处置相关样品。</w:t>
      </w:r>
    </w:p>
    <w:p w14:paraId="4DA2BDD3">
      <w:pPr>
        <w:pStyle w:val="8"/>
        <w:rPr>
          <w:color w:val="auto"/>
          <w:highlight w:val="none"/>
        </w:rPr>
      </w:pPr>
      <w:r>
        <w:rPr>
          <w:color w:val="auto"/>
          <w:highlight w:val="none"/>
        </w:rPr>
        <w:t>采购包1</w:t>
      </w:r>
    </w:p>
    <w:p w14:paraId="3A0AFDB8">
      <w:pPr>
        <w:pStyle w:val="2"/>
        <w:numPr>
          <w:ilvl w:val="0"/>
          <w:numId w:val="0"/>
        </w:numPr>
        <w:bidi w:val="0"/>
        <w:ind w:leftChars="0"/>
        <w:rPr>
          <w:rFonts w:eastAsia="宋体" w:cs="Times New Roman"/>
          <w:b/>
          <w:color w:val="auto"/>
          <w:sz w:val="21"/>
          <w:szCs w:val="21"/>
          <w:highlight w:val="none"/>
        </w:rPr>
      </w:pPr>
      <w:r>
        <w:rPr>
          <w:rFonts w:eastAsia="宋体" w:cs="Times New Roman"/>
          <w:b/>
          <w:color w:val="auto"/>
          <w:sz w:val="21"/>
          <w:szCs w:val="21"/>
          <w:highlight w:val="none"/>
        </w:rPr>
        <w:t>1.主要商务要求</w:t>
      </w:r>
    </w:p>
    <w:tbl>
      <w:tblPr>
        <w:tblStyle w:val="6"/>
        <w:tblW w:w="0" w:type="auto"/>
        <w:tblInd w:w="-395"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730"/>
        <w:gridCol w:w="7187"/>
      </w:tblGrid>
      <w:tr w14:paraId="57F9D3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30" w:type="dxa"/>
            <w:noWrap w:val="0"/>
            <w:vAlign w:val="top"/>
          </w:tcPr>
          <w:p w14:paraId="19E5FCA5">
            <w:pPr>
              <w:pStyle w:val="8"/>
              <w:rPr>
                <w:color w:val="auto"/>
                <w:highlight w:val="none"/>
              </w:rPr>
            </w:pPr>
            <w:r>
              <w:rPr>
                <w:color w:val="auto"/>
                <w:highlight w:val="none"/>
              </w:rPr>
              <w:t>标的提供的时间</w:t>
            </w:r>
          </w:p>
        </w:tc>
        <w:tc>
          <w:tcPr>
            <w:tcW w:w="7187" w:type="dxa"/>
            <w:noWrap w:val="0"/>
            <w:vAlign w:val="top"/>
          </w:tcPr>
          <w:p w14:paraId="244B216B">
            <w:pPr>
              <w:pStyle w:val="8"/>
              <w:rPr>
                <w:color w:val="auto"/>
                <w:highlight w:val="none"/>
              </w:rPr>
            </w:pPr>
            <w:r>
              <w:rPr>
                <w:rFonts w:hint="eastAsia"/>
                <w:color w:val="auto"/>
                <w:highlight w:val="none"/>
                <w:lang w:val="en-US" w:eastAsia="zh-CN"/>
              </w:rPr>
              <w:t>工期：40</w:t>
            </w:r>
            <w:r>
              <w:rPr>
                <w:color w:val="auto"/>
                <w:highlight w:val="none"/>
              </w:rPr>
              <w:t>个日历天（含国家法定假期</w:t>
            </w:r>
            <w:r>
              <w:rPr>
                <w:rFonts w:hint="eastAsia"/>
                <w:color w:val="auto"/>
                <w:highlight w:val="none"/>
                <w:lang w:eastAsia="zh-CN"/>
              </w:rPr>
              <w:t>），</w:t>
            </w:r>
            <w:r>
              <w:rPr>
                <w:color w:val="auto"/>
                <w:highlight w:val="none"/>
              </w:rPr>
              <w:t>自签订合同后采购人发出开工令之日起至本工程竣工验收通过之日止。</w:t>
            </w:r>
          </w:p>
          <w:p w14:paraId="19C935CB">
            <w:pPr>
              <w:pStyle w:val="8"/>
              <w:rPr>
                <w:color w:val="auto"/>
                <w:highlight w:val="none"/>
              </w:rPr>
            </w:pPr>
            <w:r>
              <w:rPr>
                <w:color w:val="auto"/>
                <w:highlight w:val="none"/>
              </w:rPr>
              <w:t>因成交供应商原因致使工期延误，对成交供应商处以1000元/天的违约金，但违约金总额不超过合同价的10%；由于成交供应商责任造成的拖延工期，成交供应商还应赔偿采购人因此所增加的相关费用。由于采购人原因造成的工期延长，工期可顺延。</w:t>
            </w:r>
          </w:p>
        </w:tc>
      </w:tr>
      <w:tr w14:paraId="58C2368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30" w:type="dxa"/>
            <w:noWrap w:val="0"/>
            <w:vAlign w:val="top"/>
          </w:tcPr>
          <w:p w14:paraId="2AA0856B">
            <w:pPr>
              <w:pStyle w:val="8"/>
              <w:rPr>
                <w:color w:val="auto"/>
                <w:highlight w:val="none"/>
              </w:rPr>
            </w:pPr>
            <w:r>
              <w:rPr>
                <w:color w:val="auto"/>
                <w:highlight w:val="none"/>
              </w:rPr>
              <w:t>标的提供的地点</w:t>
            </w:r>
          </w:p>
        </w:tc>
        <w:tc>
          <w:tcPr>
            <w:tcW w:w="7187" w:type="dxa"/>
            <w:noWrap w:val="0"/>
            <w:vAlign w:val="top"/>
          </w:tcPr>
          <w:p w14:paraId="13F9BA58">
            <w:pPr>
              <w:pStyle w:val="8"/>
              <w:rPr>
                <w:color w:val="auto"/>
                <w:highlight w:val="none"/>
              </w:rPr>
            </w:pPr>
            <w:r>
              <w:rPr>
                <w:color w:val="auto"/>
                <w:highlight w:val="none"/>
              </w:rPr>
              <w:t>采购人指定的地点。</w:t>
            </w:r>
          </w:p>
        </w:tc>
      </w:tr>
      <w:tr w14:paraId="00C0B0E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30" w:type="dxa"/>
            <w:noWrap w:val="0"/>
            <w:vAlign w:val="top"/>
          </w:tcPr>
          <w:p w14:paraId="7A64B337">
            <w:pPr>
              <w:pStyle w:val="8"/>
              <w:rPr>
                <w:color w:val="auto"/>
                <w:highlight w:val="none"/>
              </w:rPr>
            </w:pPr>
            <w:r>
              <w:rPr>
                <w:color w:val="auto"/>
                <w:highlight w:val="none"/>
              </w:rPr>
              <w:t>付款方式</w:t>
            </w:r>
          </w:p>
        </w:tc>
        <w:tc>
          <w:tcPr>
            <w:tcW w:w="7187" w:type="dxa"/>
            <w:noWrap w:val="0"/>
            <w:vAlign w:val="top"/>
          </w:tcPr>
          <w:p w14:paraId="06B00554">
            <w:pPr>
              <w:pStyle w:val="8"/>
              <w:rPr>
                <w:color w:val="auto"/>
                <w:highlight w:val="none"/>
              </w:rPr>
            </w:pPr>
            <w:r>
              <w:rPr>
                <w:color w:val="auto"/>
                <w:highlight w:val="none"/>
              </w:rPr>
              <w:t>1期：支付比例100%,</w:t>
            </w:r>
          </w:p>
          <w:p w14:paraId="77CA5DCE">
            <w:pPr>
              <w:pStyle w:val="8"/>
              <w:numPr>
                <w:ilvl w:val="0"/>
                <w:numId w:val="15"/>
              </w:numPr>
              <w:rPr>
                <w:color w:val="auto"/>
                <w:highlight w:val="none"/>
              </w:rPr>
            </w:pPr>
            <w:r>
              <w:rPr>
                <w:rFonts w:hint="eastAsia"/>
                <w:color w:val="auto"/>
                <w:highlight w:val="none"/>
              </w:rPr>
              <w:t>须按中山市财政部门相关规定执行，且以中山市财政局结算评审结果作为本工程结算款的支付</w:t>
            </w:r>
            <w:r>
              <w:rPr>
                <w:rFonts w:hint="eastAsia"/>
                <w:color w:val="auto"/>
                <w:highlight w:val="none"/>
                <w:lang w:val="en-US" w:eastAsia="zh-CN"/>
              </w:rPr>
              <w:t>依据</w:t>
            </w:r>
            <w:r>
              <w:rPr>
                <w:rFonts w:hint="eastAsia"/>
                <w:color w:val="auto"/>
                <w:highlight w:val="none"/>
                <w:lang w:eastAsia="zh-CN"/>
              </w:rPr>
              <w:t>。</w:t>
            </w:r>
            <w:r>
              <w:rPr>
                <w:color w:val="auto"/>
                <w:highlight w:val="none"/>
              </w:rPr>
              <w:t>合同签订之后，支付合同金额的</w:t>
            </w:r>
            <w:r>
              <w:rPr>
                <w:rFonts w:hint="eastAsia"/>
                <w:color w:val="auto"/>
                <w:highlight w:val="none"/>
                <w:lang w:val="en-US" w:eastAsia="zh-CN"/>
              </w:rPr>
              <w:t>3</w:t>
            </w:r>
            <w:r>
              <w:rPr>
                <w:color w:val="auto"/>
                <w:highlight w:val="none"/>
              </w:rPr>
              <w:t>0%作为工程预付款。 全部工程竣工并经采购人及</w:t>
            </w:r>
            <w:r>
              <w:rPr>
                <w:rFonts w:hint="eastAsia"/>
                <w:color w:val="auto"/>
                <w:highlight w:val="none"/>
                <w:lang w:val="en-US" w:eastAsia="zh-CN"/>
              </w:rPr>
              <w:t>相关部门</w:t>
            </w:r>
            <w:r>
              <w:rPr>
                <w:color w:val="auto"/>
                <w:highlight w:val="none"/>
              </w:rPr>
              <w:t>竣工验收合格且竣工资料完整后</w:t>
            </w:r>
            <w:r>
              <w:rPr>
                <w:rFonts w:hint="eastAsia"/>
                <w:color w:val="auto"/>
                <w:highlight w:val="none"/>
                <w:lang w:val="en-US" w:eastAsia="zh-CN"/>
              </w:rPr>
              <w:t>6</w:t>
            </w:r>
            <w:r>
              <w:rPr>
                <w:color w:val="auto"/>
                <w:highlight w:val="none"/>
              </w:rPr>
              <w:t>0个日历天内，工程款付至</w:t>
            </w:r>
            <w:r>
              <w:rPr>
                <w:rFonts w:hint="eastAsia"/>
                <w:color w:val="auto"/>
                <w:highlight w:val="none"/>
                <w:lang w:val="en-US" w:eastAsia="zh-CN"/>
              </w:rPr>
              <w:t>不低于</w:t>
            </w:r>
            <w:r>
              <w:rPr>
                <w:color w:val="auto"/>
                <w:highlight w:val="none"/>
              </w:rPr>
              <w:t>合同价（不含暂列金）的</w:t>
            </w:r>
            <w:r>
              <w:rPr>
                <w:rFonts w:hint="default"/>
                <w:color w:val="auto"/>
                <w:highlight w:val="none"/>
                <w:lang w:val="en-US"/>
              </w:rPr>
              <w:t>8</w:t>
            </w:r>
            <w:r>
              <w:rPr>
                <w:color w:val="auto"/>
                <w:highlight w:val="none"/>
              </w:rPr>
              <w:t>0%，待工程结算审定及所有竣工资料移交采购人，并完成竣工资料归档手续后支付至</w:t>
            </w:r>
            <w:r>
              <w:rPr>
                <w:rFonts w:hint="eastAsia"/>
                <w:color w:val="auto"/>
                <w:highlight w:val="none"/>
                <w:lang w:val="en-US" w:eastAsia="zh-CN"/>
              </w:rPr>
              <w:t>审定</w:t>
            </w:r>
            <w:r>
              <w:rPr>
                <w:color w:val="auto"/>
                <w:highlight w:val="none"/>
              </w:rPr>
              <w:t xml:space="preserve">结算价的97%，结算价的3%作为质量保修金。  </w:t>
            </w:r>
          </w:p>
          <w:p w14:paraId="1AD4BD67">
            <w:pPr>
              <w:pStyle w:val="8"/>
              <w:numPr>
                <w:ilvl w:val="0"/>
                <w:numId w:val="15"/>
              </w:numPr>
              <w:rPr>
                <w:color w:val="auto"/>
                <w:highlight w:val="none"/>
              </w:rPr>
            </w:pPr>
            <w:r>
              <w:rPr>
                <w:color w:val="auto"/>
                <w:highlight w:val="none"/>
              </w:rPr>
              <w:t>质量保证金</w:t>
            </w:r>
            <w:r>
              <w:rPr>
                <w:rFonts w:hint="eastAsia"/>
                <w:color w:val="auto"/>
                <w:highlight w:val="none"/>
                <w:lang w:eastAsia="zh-CN"/>
              </w:rPr>
              <w:t>：</w:t>
            </w:r>
            <w:r>
              <w:rPr>
                <w:color w:val="auto"/>
                <w:highlight w:val="none"/>
              </w:rPr>
              <w:t>质量保证金的金额按</w:t>
            </w:r>
            <w:r>
              <w:rPr>
                <w:rFonts w:hint="eastAsia"/>
                <w:color w:val="auto"/>
                <w:highlight w:val="none"/>
                <w:lang w:val="en-US" w:eastAsia="zh-CN"/>
              </w:rPr>
              <w:t>审定</w:t>
            </w:r>
            <w:r>
              <w:rPr>
                <w:color w:val="auto"/>
                <w:highlight w:val="none"/>
              </w:rPr>
              <w:t>结算</w:t>
            </w:r>
            <w:r>
              <w:rPr>
                <w:rFonts w:hint="eastAsia"/>
                <w:color w:val="auto"/>
                <w:highlight w:val="none"/>
                <w:lang w:val="en-US" w:eastAsia="zh-CN"/>
              </w:rPr>
              <w:t>价</w:t>
            </w:r>
            <w:r>
              <w:rPr>
                <w:color w:val="auto"/>
                <w:highlight w:val="none"/>
              </w:rPr>
              <w:t xml:space="preserve">的3％（质量保证金可采用银行保函或担保公司保函或保险保单）。 </w:t>
            </w:r>
          </w:p>
          <w:p w14:paraId="3C2B39BA">
            <w:pPr>
              <w:pStyle w:val="8"/>
              <w:numPr>
                <w:ilvl w:val="0"/>
                <w:numId w:val="15"/>
              </w:numPr>
              <w:tabs>
                <w:tab w:val="clear" w:pos="312"/>
              </w:tabs>
              <w:rPr>
                <w:color w:val="auto"/>
                <w:highlight w:val="none"/>
              </w:rPr>
            </w:pPr>
            <w:r>
              <w:rPr>
                <w:color w:val="auto"/>
                <w:highlight w:val="none"/>
              </w:rPr>
              <w:t>质量保证金的返还时间：在竣工验收合格满一年后支付（结算款的3％）</w:t>
            </w:r>
            <w:r>
              <w:rPr>
                <w:rFonts w:hint="eastAsia"/>
                <w:color w:val="auto"/>
                <w:highlight w:val="none"/>
                <w:lang w:eastAsia="zh-CN"/>
              </w:rPr>
              <w:t>，</w:t>
            </w:r>
            <w:r>
              <w:rPr>
                <w:color w:val="auto"/>
                <w:highlight w:val="none"/>
              </w:rPr>
              <w:t>不计利息。</w:t>
            </w:r>
          </w:p>
          <w:p w14:paraId="219A45AF">
            <w:pPr>
              <w:pStyle w:val="8"/>
              <w:rPr>
                <w:color w:val="auto"/>
                <w:highlight w:val="none"/>
              </w:rPr>
            </w:pPr>
            <w:r>
              <w:rPr>
                <w:rFonts w:hint="eastAsia"/>
                <w:color w:val="auto"/>
                <w:highlight w:val="none"/>
                <w:lang w:val="en-US" w:eastAsia="zh-CN"/>
              </w:rPr>
              <w:t>供应商收款应开具</w:t>
            </w:r>
            <w:r>
              <w:rPr>
                <w:color w:val="auto"/>
                <w:highlight w:val="none"/>
              </w:rPr>
              <w:t>应符合税务机关</w:t>
            </w:r>
            <w:r>
              <w:rPr>
                <w:rFonts w:hint="eastAsia"/>
                <w:color w:val="auto"/>
                <w:highlight w:val="none"/>
                <w:lang w:val="en-US" w:eastAsia="zh-CN"/>
              </w:rPr>
              <w:t>和采购人</w:t>
            </w:r>
            <w:r>
              <w:rPr>
                <w:color w:val="auto"/>
                <w:highlight w:val="none"/>
              </w:rPr>
              <w:t>要求</w:t>
            </w:r>
            <w:r>
              <w:rPr>
                <w:rFonts w:hint="eastAsia"/>
                <w:color w:val="auto"/>
                <w:highlight w:val="none"/>
                <w:lang w:val="en-US" w:eastAsia="zh-CN"/>
              </w:rPr>
              <w:t>的</w:t>
            </w:r>
            <w:r>
              <w:rPr>
                <w:color w:val="auto"/>
                <w:highlight w:val="none"/>
              </w:rPr>
              <w:t>发票。本工程</w:t>
            </w:r>
            <w:r>
              <w:rPr>
                <w:rFonts w:hint="eastAsia"/>
                <w:color w:val="auto"/>
                <w:highlight w:val="none"/>
                <w:lang w:val="en-US" w:eastAsia="zh-CN"/>
              </w:rPr>
              <w:t>使用财政资金</w:t>
            </w:r>
            <w:r>
              <w:rPr>
                <w:color w:val="auto"/>
                <w:highlight w:val="none"/>
              </w:rPr>
              <w:t>，所有的工程费用均需报财政部门拨付，故上述约定的付款时间视为采购人向财政部门申请付款的时间。采购人应按时向财政部门申请付款并积极协助付款事宜。</w:t>
            </w:r>
          </w:p>
          <w:p w14:paraId="50417821">
            <w:pPr>
              <w:pStyle w:val="8"/>
              <w:rPr>
                <w:color w:val="auto"/>
                <w:highlight w:val="none"/>
              </w:rPr>
            </w:pPr>
            <w:r>
              <w:rPr>
                <w:color w:val="auto"/>
                <w:highlight w:val="none"/>
              </w:rPr>
              <w:t>如项目发生合同融资，采购人需将合同款项支付到合同约定收款账户</w:t>
            </w:r>
          </w:p>
        </w:tc>
      </w:tr>
      <w:tr w14:paraId="5406A95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30" w:type="dxa"/>
            <w:noWrap w:val="0"/>
            <w:vAlign w:val="top"/>
          </w:tcPr>
          <w:p w14:paraId="463D5CF3">
            <w:pPr>
              <w:pStyle w:val="8"/>
              <w:rPr>
                <w:color w:val="auto"/>
                <w:highlight w:val="none"/>
              </w:rPr>
            </w:pPr>
            <w:r>
              <w:rPr>
                <w:color w:val="auto"/>
                <w:highlight w:val="none"/>
              </w:rPr>
              <w:t>验收要求</w:t>
            </w:r>
          </w:p>
        </w:tc>
        <w:tc>
          <w:tcPr>
            <w:tcW w:w="7187" w:type="dxa"/>
            <w:noWrap w:val="0"/>
            <w:vAlign w:val="top"/>
          </w:tcPr>
          <w:p w14:paraId="36C1FA1E">
            <w:pPr>
              <w:pStyle w:val="8"/>
              <w:rPr>
                <w:color w:val="auto"/>
                <w:highlight w:val="none"/>
              </w:rPr>
            </w:pPr>
            <w:r>
              <w:rPr>
                <w:color w:val="auto"/>
                <w:highlight w:val="none"/>
              </w:rPr>
              <w:t>1期：</w:t>
            </w:r>
          </w:p>
          <w:p w14:paraId="11D3CA0F">
            <w:pPr>
              <w:pStyle w:val="8"/>
              <w:numPr>
                <w:ilvl w:val="0"/>
                <w:numId w:val="16"/>
              </w:numPr>
              <w:ind w:left="0" w:leftChars="0" w:firstLine="400" w:firstLineChars="0"/>
              <w:rPr>
                <w:color w:val="auto"/>
                <w:highlight w:val="none"/>
              </w:rPr>
            </w:pPr>
            <w:r>
              <w:rPr>
                <w:color w:val="auto"/>
                <w:highlight w:val="none"/>
              </w:rPr>
              <w:t>按</w:t>
            </w:r>
            <w:r>
              <w:rPr>
                <w:rFonts w:hint="eastAsia"/>
                <w:color w:val="auto"/>
                <w:highlight w:val="none"/>
                <w:lang w:val="en-US" w:eastAsia="zh-CN"/>
              </w:rPr>
              <w:t>相关标准</w:t>
            </w:r>
            <w:r>
              <w:rPr>
                <w:color w:val="auto"/>
                <w:highlight w:val="none"/>
              </w:rPr>
              <w:t>规范</w:t>
            </w:r>
            <w:r>
              <w:rPr>
                <w:rFonts w:hint="eastAsia"/>
                <w:color w:val="auto"/>
                <w:highlight w:val="none"/>
                <w:lang w:eastAsia="zh-CN"/>
              </w:rPr>
              <w:t>（</w:t>
            </w:r>
            <w:r>
              <w:rPr>
                <w:color w:val="auto"/>
                <w:highlight w:val="none"/>
              </w:rPr>
              <w:t>《中小学合成材料面层运动场地》（GB36246-2018)</w:t>
            </w:r>
            <w:r>
              <w:rPr>
                <w:rFonts w:hint="eastAsia"/>
                <w:color w:val="auto"/>
                <w:highlight w:val="none"/>
                <w:lang w:eastAsia="zh-CN"/>
              </w:rPr>
              <w:t>、《体育场地使用要求及检验方法》（GB/T 225176-2020）、《中小学人造草面层足球场地》</w:t>
            </w:r>
            <w:r>
              <w:rPr>
                <w:rFonts w:hint="eastAsia"/>
                <w:color w:val="auto"/>
                <w:highlight w:val="none"/>
                <w:lang w:val="en-US" w:eastAsia="zh-CN"/>
              </w:rPr>
              <w:t>(</w:t>
            </w:r>
            <w:r>
              <w:rPr>
                <w:rFonts w:hint="eastAsia"/>
                <w:color w:val="auto"/>
                <w:highlight w:val="none"/>
                <w:lang w:eastAsia="zh-CN"/>
              </w:rPr>
              <w:t>GB</w:t>
            </w:r>
            <w:r>
              <w:rPr>
                <w:rFonts w:hint="eastAsia"/>
                <w:color w:val="auto"/>
                <w:highlight w:val="none"/>
                <w:lang w:val="en-US" w:eastAsia="zh-CN"/>
              </w:rPr>
              <w:t>/</w:t>
            </w:r>
            <w:r>
              <w:rPr>
                <w:rFonts w:hint="eastAsia"/>
                <w:color w:val="auto"/>
                <w:highlight w:val="none"/>
                <w:lang w:eastAsia="zh-CN"/>
              </w:rPr>
              <w:t>T</w:t>
            </w:r>
            <w:r>
              <w:rPr>
                <w:rFonts w:hint="eastAsia"/>
                <w:color w:val="auto"/>
                <w:highlight w:val="none"/>
                <w:lang w:val="en-US" w:eastAsia="zh-CN"/>
              </w:rPr>
              <w:t xml:space="preserve"> </w:t>
            </w:r>
            <w:r>
              <w:rPr>
                <w:rFonts w:hint="eastAsia"/>
                <w:color w:val="auto"/>
                <w:highlight w:val="none"/>
                <w:lang w:eastAsia="zh-CN"/>
              </w:rPr>
              <w:t>43566-2023）</w:t>
            </w:r>
            <w:r>
              <w:rPr>
                <w:rFonts w:hint="eastAsia"/>
                <w:color w:val="auto"/>
                <w:highlight w:val="none"/>
                <w:lang w:val="en-US" w:eastAsia="zh-CN"/>
              </w:rPr>
              <w:t>等）</w:t>
            </w:r>
            <w:r>
              <w:rPr>
                <w:color w:val="auto"/>
                <w:highlight w:val="none"/>
              </w:rPr>
              <w:t>以及施工图纸、设计变更</w:t>
            </w:r>
            <w:r>
              <w:rPr>
                <w:rFonts w:hint="eastAsia"/>
                <w:color w:val="auto"/>
                <w:highlight w:val="none"/>
                <w:lang w:eastAsia="zh-CN"/>
              </w:rPr>
              <w:t>、</w:t>
            </w:r>
            <w:r>
              <w:rPr>
                <w:rFonts w:hint="eastAsia"/>
                <w:color w:val="auto"/>
                <w:highlight w:val="none"/>
                <w:lang w:val="en-US" w:eastAsia="zh-CN"/>
              </w:rPr>
              <w:t>磋商文件的要求和供应商的响应文件、样品</w:t>
            </w:r>
            <w:r>
              <w:rPr>
                <w:color w:val="auto"/>
                <w:highlight w:val="none"/>
              </w:rPr>
              <w:t>等</w:t>
            </w:r>
            <w:r>
              <w:rPr>
                <w:rFonts w:hint="eastAsia"/>
                <w:color w:val="auto"/>
                <w:highlight w:val="none"/>
                <w:lang w:val="en-US" w:eastAsia="zh-CN"/>
              </w:rPr>
              <w:t>依据进行</w:t>
            </w:r>
            <w:r>
              <w:rPr>
                <w:color w:val="auto"/>
                <w:highlight w:val="none"/>
              </w:rPr>
              <w:t>验收。</w:t>
            </w:r>
          </w:p>
          <w:p w14:paraId="395644E4">
            <w:pPr>
              <w:pStyle w:val="8"/>
              <w:numPr>
                <w:ilvl w:val="0"/>
                <w:numId w:val="16"/>
              </w:numPr>
              <w:ind w:left="0" w:leftChars="0" w:firstLine="400" w:firstLineChars="0"/>
              <w:rPr>
                <w:rFonts w:hint="eastAsia"/>
                <w:color w:val="auto"/>
                <w:highlight w:val="none"/>
                <w:lang w:eastAsia="zh-CN"/>
              </w:rPr>
            </w:pPr>
            <w:r>
              <w:rPr>
                <w:rFonts w:hint="eastAsia"/>
                <w:color w:val="auto"/>
                <w:highlight w:val="none"/>
                <w:lang w:val="en-US" w:eastAsia="zh-CN"/>
              </w:rPr>
              <w:t>提供本项目使用的</w:t>
            </w:r>
            <w:r>
              <w:rPr>
                <w:color w:val="auto"/>
                <w:highlight w:val="none"/>
              </w:rPr>
              <w:t>合成面层跑道合格</w:t>
            </w:r>
            <w:r>
              <w:rPr>
                <w:rFonts w:hint="eastAsia"/>
                <w:color w:val="auto"/>
                <w:highlight w:val="none"/>
                <w:lang w:val="en-US" w:eastAsia="zh-CN"/>
              </w:rPr>
              <w:t>并符合《中小学合成材料面层运动场地》（GB36246-2018)等标准规范的检测</w:t>
            </w:r>
            <w:r>
              <w:rPr>
                <w:color w:val="auto"/>
                <w:highlight w:val="none"/>
              </w:rPr>
              <w:t>报告</w:t>
            </w:r>
            <w:r>
              <w:rPr>
                <w:rFonts w:hint="eastAsia"/>
                <w:color w:val="auto"/>
                <w:highlight w:val="none"/>
                <w:lang w:eastAsia="zh-CN"/>
              </w:rPr>
              <w:t>。</w:t>
            </w:r>
          </w:p>
          <w:p w14:paraId="0A5DADFB">
            <w:pPr>
              <w:pStyle w:val="8"/>
              <w:numPr>
                <w:ilvl w:val="0"/>
                <w:numId w:val="16"/>
              </w:numPr>
              <w:ind w:left="0" w:leftChars="0" w:firstLine="400" w:firstLineChars="0"/>
              <w:rPr>
                <w:color w:val="auto"/>
                <w:highlight w:val="none"/>
              </w:rPr>
            </w:pPr>
            <w:r>
              <w:rPr>
                <w:color w:val="auto"/>
                <w:highlight w:val="none"/>
              </w:rPr>
              <w:t>工程竣工后，成交供应商应书面通知采购人验收，采购人自接到验收通知</w:t>
            </w:r>
            <w:r>
              <w:rPr>
                <w:rFonts w:hint="eastAsia"/>
                <w:color w:val="auto"/>
                <w:highlight w:val="none"/>
                <w:lang w:val="en-US" w:eastAsia="zh-CN"/>
              </w:rPr>
              <w:t>30</w:t>
            </w:r>
            <w:r>
              <w:rPr>
                <w:color w:val="auto"/>
                <w:highlight w:val="none"/>
              </w:rPr>
              <w:t>日内组织验收，并办理验收手续。</w:t>
            </w:r>
          </w:p>
          <w:p w14:paraId="0E260BB9">
            <w:pPr>
              <w:pStyle w:val="8"/>
              <w:numPr>
                <w:ilvl w:val="0"/>
                <w:numId w:val="16"/>
              </w:numPr>
              <w:ind w:left="0" w:leftChars="0" w:firstLine="400" w:firstLineChars="0"/>
              <w:rPr>
                <w:color w:val="auto"/>
                <w:highlight w:val="none"/>
              </w:rPr>
            </w:pPr>
            <w:r>
              <w:rPr>
                <w:color w:val="auto"/>
                <w:highlight w:val="none"/>
              </w:rPr>
              <w:t xml:space="preserve">工程完工后，成交供应商需按采购人的要求提供竣工验收报告书面资料。 </w:t>
            </w:r>
          </w:p>
        </w:tc>
      </w:tr>
      <w:tr w14:paraId="772CDEE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30" w:type="dxa"/>
            <w:noWrap w:val="0"/>
            <w:vAlign w:val="top"/>
          </w:tcPr>
          <w:p w14:paraId="70CE4AC4">
            <w:pPr>
              <w:pStyle w:val="8"/>
              <w:rPr>
                <w:color w:val="auto"/>
                <w:highlight w:val="none"/>
              </w:rPr>
            </w:pPr>
            <w:r>
              <w:rPr>
                <w:color w:val="auto"/>
                <w:highlight w:val="none"/>
              </w:rPr>
              <w:t>履约保证金</w:t>
            </w:r>
          </w:p>
        </w:tc>
        <w:tc>
          <w:tcPr>
            <w:tcW w:w="7187" w:type="dxa"/>
            <w:noWrap w:val="0"/>
            <w:vAlign w:val="top"/>
          </w:tcPr>
          <w:p w14:paraId="31567E23">
            <w:pPr>
              <w:pStyle w:val="8"/>
              <w:rPr>
                <w:color w:val="auto"/>
                <w:highlight w:val="none"/>
              </w:rPr>
            </w:pPr>
            <w:r>
              <w:rPr>
                <w:color w:val="auto"/>
                <w:highlight w:val="none"/>
              </w:rPr>
              <w:t>交纳比例：</w:t>
            </w:r>
            <w:r>
              <w:rPr>
                <w:rFonts w:hint="default"/>
                <w:color w:val="auto"/>
                <w:highlight w:val="none"/>
                <w:lang w:val="en-US"/>
              </w:rPr>
              <w:t>5</w:t>
            </w:r>
            <w:r>
              <w:rPr>
                <w:color w:val="auto"/>
                <w:highlight w:val="none"/>
              </w:rPr>
              <w:t>%</w:t>
            </w:r>
          </w:p>
          <w:p w14:paraId="16C96FE9">
            <w:pPr>
              <w:pStyle w:val="8"/>
              <w:rPr>
                <w:color w:val="auto"/>
                <w:highlight w:val="none"/>
              </w:rPr>
            </w:pPr>
            <w:r>
              <w:rPr>
                <w:color w:val="auto"/>
                <w:highlight w:val="none"/>
              </w:rPr>
              <w:t>缴费渠道：电子保函（保险）、支票（本票、汇票）、其他</w:t>
            </w:r>
          </w:p>
          <w:p w14:paraId="7C879496">
            <w:pPr>
              <w:pStyle w:val="8"/>
              <w:rPr>
                <w:color w:val="auto"/>
                <w:highlight w:val="none"/>
              </w:rPr>
            </w:pPr>
            <w:r>
              <w:rPr>
                <w:color w:val="auto"/>
                <w:highlight w:val="none"/>
              </w:rPr>
              <w:t>账号：/</w:t>
            </w:r>
          </w:p>
          <w:p w14:paraId="4A593A47">
            <w:pPr>
              <w:pStyle w:val="8"/>
              <w:rPr>
                <w:color w:val="auto"/>
                <w:highlight w:val="none"/>
              </w:rPr>
            </w:pPr>
            <w:r>
              <w:rPr>
                <w:color w:val="auto"/>
                <w:highlight w:val="none"/>
              </w:rPr>
              <w:t>户名：/</w:t>
            </w:r>
          </w:p>
          <w:p w14:paraId="728A3BA4">
            <w:pPr>
              <w:pStyle w:val="8"/>
              <w:rPr>
                <w:color w:val="auto"/>
                <w:highlight w:val="none"/>
              </w:rPr>
            </w:pPr>
            <w:r>
              <w:rPr>
                <w:color w:val="auto"/>
                <w:highlight w:val="none"/>
              </w:rPr>
              <w:t>开户行：/</w:t>
            </w:r>
          </w:p>
          <w:p w14:paraId="53EF0B8A">
            <w:pPr>
              <w:pStyle w:val="8"/>
              <w:rPr>
                <w:color w:val="auto"/>
                <w:highlight w:val="none"/>
              </w:rPr>
            </w:pPr>
            <w:r>
              <w:rPr>
                <w:color w:val="auto"/>
                <w:highlight w:val="none"/>
              </w:rPr>
              <w:t>支票提交方式：双方约定</w:t>
            </w:r>
          </w:p>
          <w:p w14:paraId="586F9CB5">
            <w:pPr>
              <w:pStyle w:val="8"/>
              <w:rPr>
                <w:color w:val="auto"/>
                <w:highlight w:val="none"/>
              </w:rPr>
            </w:pPr>
            <w:r>
              <w:rPr>
                <w:color w:val="auto"/>
                <w:highlight w:val="none"/>
              </w:rPr>
              <w:t>汇票、本票提交方式：双方约定</w:t>
            </w:r>
          </w:p>
          <w:p w14:paraId="5A2C20B1">
            <w:pPr>
              <w:pStyle w:val="8"/>
              <w:rPr>
                <w:rFonts w:hint="eastAsia"/>
                <w:color w:val="auto"/>
                <w:highlight w:val="none"/>
                <w:lang w:eastAsia="zh-CN"/>
              </w:rPr>
            </w:pPr>
            <w:r>
              <w:rPr>
                <w:color w:val="auto"/>
                <w:highlight w:val="none"/>
              </w:rPr>
              <w:t>说明：</w:t>
            </w:r>
            <w:r>
              <w:rPr>
                <w:rFonts w:hint="eastAsia"/>
                <w:color w:val="auto"/>
                <w:highlight w:val="none"/>
                <w:lang w:val="en-US" w:eastAsia="zh-CN"/>
              </w:rPr>
              <w:t>成交</w:t>
            </w:r>
            <w:r>
              <w:rPr>
                <w:color w:val="auto"/>
                <w:highlight w:val="none"/>
              </w:rPr>
              <w:t>供应商与采购人签订合同之日起15个工作日内向采购人缴交履约保证金</w:t>
            </w:r>
            <w:r>
              <w:rPr>
                <w:rFonts w:hint="eastAsia"/>
                <w:color w:val="auto"/>
                <w:highlight w:val="none"/>
                <w:lang w:eastAsia="zh-CN"/>
              </w:rPr>
              <w:t>。</w:t>
            </w:r>
          </w:p>
          <w:p w14:paraId="77FB5960">
            <w:pPr>
              <w:pStyle w:val="8"/>
              <w:rPr>
                <w:color w:val="auto"/>
                <w:highlight w:val="none"/>
              </w:rPr>
            </w:pPr>
            <w:r>
              <w:rPr>
                <w:color w:val="auto"/>
                <w:highlight w:val="none"/>
              </w:rPr>
              <w:t>履约保证金退还时间的约定：合同内全部工程完成、验收合格且竣工资料完整</w:t>
            </w:r>
            <w:r>
              <w:rPr>
                <w:rFonts w:hint="eastAsia"/>
                <w:color w:val="auto"/>
                <w:highlight w:val="none"/>
                <w:lang w:val="en-US" w:eastAsia="zh-CN"/>
              </w:rPr>
              <w:t>移交</w:t>
            </w:r>
            <w:r>
              <w:rPr>
                <w:color w:val="auto"/>
                <w:highlight w:val="none"/>
              </w:rPr>
              <w:t>后</w:t>
            </w:r>
            <w:r>
              <w:rPr>
                <w:rFonts w:hint="eastAsia"/>
                <w:color w:val="auto"/>
                <w:highlight w:val="none"/>
                <w:lang w:eastAsia="zh-CN"/>
              </w:rPr>
              <w:t>，</w:t>
            </w:r>
            <w:r>
              <w:rPr>
                <w:color w:val="auto"/>
                <w:highlight w:val="none"/>
              </w:rPr>
              <w:t>无任何违约情况下30个日历天内一次性无息返还全额至</w:t>
            </w:r>
            <w:r>
              <w:rPr>
                <w:rFonts w:hint="eastAsia"/>
                <w:color w:val="auto"/>
                <w:highlight w:val="none"/>
                <w:lang w:val="en-US" w:eastAsia="zh-CN"/>
              </w:rPr>
              <w:t>成交</w:t>
            </w:r>
            <w:r>
              <w:rPr>
                <w:color w:val="auto"/>
                <w:highlight w:val="none"/>
              </w:rPr>
              <w:t>供应商账户。</w:t>
            </w:r>
          </w:p>
          <w:p w14:paraId="4D0C221F">
            <w:pPr>
              <w:pStyle w:val="8"/>
              <w:rPr>
                <w:color w:val="auto"/>
                <w:highlight w:val="none"/>
              </w:rPr>
            </w:pPr>
            <w:r>
              <w:rPr>
                <w:color w:val="auto"/>
                <w:highlight w:val="none"/>
              </w:rPr>
              <w:t xml:space="preserve"> 履约保证金可以以履约保函（保险）形式提供，目前"广东政府采购智慧云平台金融服务中心(https://gdgpo.czt.gd.gov.cn/zcdservice/zcd/guangdong/)已实现电子履约保函（保险）在线办理功能，有意愿供应商可自行办理提供。</w:t>
            </w:r>
          </w:p>
        </w:tc>
      </w:tr>
      <w:tr w14:paraId="43457E5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30" w:type="dxa"/>
            <w:noWrap w:val="0"/>
            <w:vAlign w:val="top"/>
          </w:tcPr>
          <w:p w14:paraId="3D2A2EAA">
            <w:pPr>
              <w:pStyle w:val="8"/>
              <w:rPr>
                <w:color w:val="auto"/>
                <w:highlight w:val="none"/>
              </w:rPr>
            </w:pPr>
            <w:r>
              <w:rPr>
                <w:color w:val="auto"/>
                <w:highlight w:val="none"/>
              </w:rPr>
              <w:t>其他</w:t>
            </w:r>
          </w:p>
        </w:tc>
        <w:tc>
          <w:tcPr>
            <w:tcW w:w="7187" w:type="dxa"/>
            <w:noWrap w:val="0"/>
            <w:vAlign w:val="top"/>
          </w:tcPr>
          <w:p w14:paraId="04054491">
            <w:pPr>
              <w:pStyle w:val="8"/>
              <w:rPr>
                <w:color w:val="auto"/>
                <w:highlight w:val="none"/>
              </w:rPr>
            </w:pPr>
          </w:p>
        </w:tc>
      </w:tr>
    </w:tbl>
    <w:p w14:paraId="02A953D5">
      <w:pPr>
        <w:pStyle w:val="8"/>
        <w:rPr>
          <w:color w:val="auto"/>
          <w:highlight w:val="none"/>
        </w:rPr>
      </w:pPr>
      <w:r>
        <w:rPr>
          <w:b/>
          <w:color w:val="auto"/>
          <w:highlight w:val="none"/>
        </w:rPr>
        <w:t>2.技术标准与要求</w:t>
      </w:r>
    </w:p>
    <w:tbl>
      <w:tblPr>
        <w:tblStyle w:val="6"/>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1"/>
        <w:gridCol w:w="831"/>
        <w:gridCol w:w="831"/>
        <w:gridCol w:w="831"/>
        <w:gridCol w:w="831"/>
        <w:gridCol w:w="831"/>
        <w:gridCol w:w="831"/>
        <w:gridCol w:w="831"/>
        <w:gridCol w:w="831"/>
        <w:gridCol w:w="831"/>
      </w:tblGrid>
      <w:tr w14:paraId="65E7687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noWrap w:val="0"/>
            <w:vAlign w:val="top"/>
          </w:tcPr>
          <w:p w14:paraId="6B1E1A89">
            <w:pPr>
              <w:pStyle w:val="8"/>
              <w:jc w:val="center"/>
              <w:rPr>
                <w:color w:val="auto"/>
                <w:highlight w:val="none"/>
              </w:rPr>
            </w:pPr>
            <w:r>
              <w:rPr>
                <w:color w:val="auto"/>
                <w:highlight w:val="none"/>
              </w:rPr>
              <w:t>序号</w:t>
            </w:r>
          </w:p>
        </w:tc>
        <w:tc>
          <w:tcPr>
            <w:tcW w:w="831" w:type="dxa"/>
            <w:noWrap w:val="0"/>
            <w:vAlign w:val="top"/>
          </w:tcPr>
          <w:p w14:paraId="1B89AF03">
            <w:pPr>
              <w:pStyle w:val="8"/>
              <w:jc w:val="center"/>
              <w:rPr>
                <w:color w:val="auto"/>
                <w:highlight w:val="none"/>
              </w:rPr>
            </w:pPr>
            <w:r>
              <w:rPr>
                <w:color w:val="auto"/>
                <w:highlight w:val="none"/>
              </w:rPr>
              <w:t>品目名称</w:t>
            </w:r>
          </w:p>
        </w:tc>
        <w:tc>
          <w:tcPr>
            <w:tcW w:w="831" w:type="dxa"/>
            <w:noWrap w:val="0"/>
            <w:vAlign w:val="top"/>
          </w:tcPr>
          <w:p w14:paraId="26AA6F0A">
            <w:pPr>
              <w:pStyle w:val="8"/>
              <w:jc w:val="center"/>
              <w:rPr>
                <w:color w:val="auto"/>
                <w:highlight w:val="none"/>
              </w:rPr>
            </w:pPr>
            <w:r>
              <w:rPr>
                <w:color w:val="auto"/>
                <w:highlight w:val="none"/>
              </w:rPr>
              <w:t>标的名称</w:t>
            </w:r>
          </w:p>
        </w:tc>
        <w:tc>
          <w:tcPr>
            <w:tcW w:w="831" w:type="dxa"/>
            <w:noWrap w:val="0"/>
            <w:vAlign w:val="top"/>
          </w:tcPr>
          <w:p w14:paraId="79F4D5CC">
            <w:pPr>
              <w:pStyle w:val="8"/>
              <w:jc w:val="center"/>
              <w:rPr>
                <w:color w:val="auto"/>
                <w:highlight w:val="none"/>
              </w:rPr>
            </w:pPr>
            <w:r>
              <w:rPr>
                <w:color w:val="auto"/>
                <w:highlight w:val="none"/>
              </w:rPr>
              <w:t>单位</w:t>
            </w:r>
          </w:p>
        </w:tc>
        <w:tc>
          <w:tcPr>
            <w:tcW w:w="831" w:type="dxa"/>
            <w:noWrap w:val="0"/>
            <w:vAlign w:val="top"/>
          </w:tcPr>
          <w:p w14:paraId="495EA121">
            <w:pPr>
              <w:pStyle w:val="8"/>
              <w:jc w:val="center"/>
              <w:rPr>
                <w:color w:val="auto"/>
                <w:highlight w:val="none"/>
              </w:rPr>
            </w:pPr>
            <w:r>
              <w:rPr>
                <w:color w:val="auto"/>
                <w:highlight w:val="none"/>
              </w:rPr>
              <w:t>数量</w:t>
            </w:r>
          </w:p>
        </w:tc>
        <w:tc>
          <w:tcPr>
            <w:tcW w:w="831" w:type="dxa"/>
            <w:noWrap w:val="0"/>
            <w:vAlign w:val="top"/>
          </w:tcPr>
          <w:p w14:paraId="5EC0A12E">
            <w:pPr>
              <w:pStyle w:val="8"/>
              <w:jc w:val="center"/>
              <w:rPr>
                <w:color w:val="auto"/>
                <w:highlight w:val="none"/>
              </w:rPr>
            </w:pPr>
            <w:r>
              <w:rPr>
                <w:color w:val="auto"/>
                <w:highlight w:val="none"/>
              </w:rPr>
              <w:t>分项预算单价（元）</w:t>
            </w:r>
          </w:p>
        </w:tc>
        <w:tc>
          <w:tcPr>
            <w:tcW w:w="831" w:type="dxa"/>
            <w:noWrap w:val="0"/>
            <w:vAlign w:val="top"/>
          </w:tcPr>
          <w:p w14:paraId="77973F66">
            <w:pPr>
              <w:pStyle w:val="8"/>
              <w:jc w:val="center"/>
              <w:rPr>
                <w:color w:val="auto"/>
                <w:highlight w:val="none"/>
              </w:rPr>
            </w:pPr>
            <w:r>
              <w:rPr>
                <w:color w:val="auto"/>
                <w:highlight w:val="none"/>
              </w:rPr>
              <w:t>分项预算总价（元）</w:t>
            </w:r>
          </w:p>
        </w:tc>
        <w:tc>
          <w:tcPr>
            <w:tcW w:w="831" w:type="dxa"/>
            <w:noWrap w:val="0"/>
            <w:vAlign w:val="top"/>
          </w:tcPr>
          <w:p w14:paraId="6EDD3092">
            <w:pPr>
              <w:pStyle w:val="8"/>
              <w:jc w:val="center"/>
              <w:rPr>
                <w:color w:val="auto"/>
                <w:highlight w:val="none"/>
              </w:rPr>
            </w:pPr>
            <w:r>
              <w:rPr>
                <w:color w:val="auto"/>
                <w:highlight w:val="none"/>
              </w:rPr>
              <w:t xml:space="preserve"> 权重%</w:t>
            </w:r>
          </w:p>
        </w:tc>
        <w:tc>
          <w:tcPr>
            <w:tcW w:w="831" w:type="dxa"/>
            <w:noWrap w:val="0"/>
            <w:vAlign w:val="top"/>
          </w:tcPr>
          <w:p w14:paraId="6F58F00B">
            <w:pPr>
              <w:pStyle w:val="8"/>
              <w:rPr>
                <w:color w:val="auto"/>
                <w:highlight w:val="none"/>
              </w:rPr>
            </w:pPr>
            <w:r>
              <w:rPr>
                <w:color w:val="auto"/>
                <w:highlight w:val="none"/>
              </w:rPr>
              <w:t>所属行业</w:t>
            </w:r>
          </w:p>
        </w:tc>
        <w:tc>
          <w:tcPr>
            <w:tcW w:w="831" w:type="dxa"/>
            <w:noWrap w:val="0"/>
            <w:vAlign w:val="top"/>
          </w:tcPr>
          <w:p w14:paraId="3D3A8227">
            <w:pPr>
              <w:pStyle w:val="8"/>
              <w:jc w:val="center"/>
              <w:rPr>
                <w:color w:val="auto"/>
                <w:highlight w:val="none"/>
              </w:rPr>
            </w:pPr>
            <w:r>
              <w:rPr>
                <w:color w:val="auto"/>
                <w:highlight w:val="none"/>
              </w:rPr>
              <w:t>技术要求</w:t>
            </w:r>
          </w:p>
        </w:tc>
      </w:tr>
      <w:tr w14:paraId="6667B01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noWrap w:val="0"/>
            <w:vAlign w:val="top"/>
          </w:tcPr>
          <w:p w14:paraId="31389A19">
            <w:pPr>
              <w:pStyle w:val="8"/>
              <w:jc w:val="center"/>
              <w:rPr>
                <w:color w:val="auto"/>
                <w:highlight w:val="none"/>
              </w:rPr>
            </w:pPr>
            <w:r>
              <w:rPr>
                <w:color w:val="auto"/>
                <w:highlight w:val="none"/>
              </w:rPr>
              <w:t>1</w:t>
            </w:r>
          </w:p>
        </w:tc>
        <w:tc>
          <w:tcPr>
            <w:tcW w:w="831" w:type="dxa"/>
            <w:noWrap w:val="0"/>
            <w:vAlign w:val="top"/>
          </w:tcPr>
          <w:p w14:paraId="7AAD23A9">
            <w:pPr>
              <w:pStyle w:val="8"/>
              <w:jc w:val="left"/>
              <w:rPr>
                <w:color w:val="auto"/>
                <w:highlight w:val="none"/>
              </w:rPr>
            </w:pPr>
            <w:r>
              <w:rPr>
                <w:color w:val="auto"/>
                <w:highlight w:val="none"/>
              </w:rPr>
              <w:t>其他建筑工程</w:t>
            </w:r>
          </w:p>
        </w:tc>
        <w:tc>
          <w:tcPr>
            <w:tcW w:w="831" w:type="dxa"/>
            <w:noWrap w:val="0"/>
            <w:vAlign w:val="top"/>
          </w:tcPr>
          <w:p w14:paraId="6CAC124A">
            <w:pPr>
              <w:pStyle w:val="8"/>
              <w:jc w:val="left"/>
              <w:rPr>
                <w:color w:val="auto"/>
                <w:highlight w:val="none"/>
              </w:rPr>
            </w:pPr>
          </w:p>
        </w:tc>
        <w:tc>
          <w:tcPr>
            <w:tcW w:w="831" w:type="dxa"/>
            <w:noWrap w:val="0"/>
            <w:vAlign w:val="top"/>
          </w:tcPr>
          <w:p w14:paraId="58292A15">
            <w:pPr>
              <w:pStyle w:val="8"/>
              <w:jc w:val="left"/>
              <w:rPr>
                <w:color w:val="auto"/>
                <w:highlight w:val="none"/>
              </w:rPr>
            </w:pPr>
            <w:r>
              <w:rPr>
                <w:color w:val="auto"/>
                <w:highlight w:val="none"/>
              </w:rPr>
              <w:t>项</w:t>
            </w:r>
          </w:p>
        </w:tc>
        <w:tc>
          <w:tcPr>
            <w:tcW w:w="831" w:type="dxa"/>
            <w:noWrap w:val="0"/>
            <w:vAlign w:val="top"/>
          </w:tcPr>
          <w:p w14:paraId="7A76342B">
            <w:pPr>
              <w:pStyle w:val="8"/>
              <w:jc w:val="right"/>
              <w:rPr>
                <w:color w:val="auto"/>
                <w:highlight w:val="none"/>
              </w:rPr>
            </w:pPr>
            <w:r>
              <w:rPr>
                <w:color w:val="auto"/>
                <w:highlight w:val="none"/>
              </w:rPr>
              <w:t>1.00</w:t>
            </w:r>
          </w:p>
        </w:tc>
        <w:tc>
          <w:tcPr>
            <w:tcW w:w="831" w:type="dxa"/>
            <w:noWrap w:val="0"/>
            <w:vAlign w:val="top"/>
          </w:tcPr>
          <w:p w14:paraId="0ACE2F4F">
            <w:pPr>
              <w:pStyle w:val="8"/>
              <w:jc w:val="right"/>
              <w:rPr>
                <w:color w:val="auto"/>
                <w:highlight w:val="none"/>
              </w:rPr>
            </w:pPr>
          </w:p>
        </w:tc>
        <w:tc>
          <w:tcPr>
            <w:tcW w:w="831" w:type="dxa"/>
            <w:noWrap w:val="0"/>
            <w:vAlign w:val="top"/>
          </w:tcPr>
          <w:p w14:paraId="49B47971">
            <w:pPr>
              <w:pStyle w:val="8"/>
              <w:jc w:val="right"/>
              <w:rPr>
                <w:color w:val="auto"/>
                <w:highlight w:val="none"/>
              </w:rPr>
            </w:pPr>
          </w:p>
        </w:tc>
        <w:tc>
          <w:tcPr>
            <w:tcW w:w="831" w:type="dxa"/>
            <w:noWrap w:val="0"/>
            <w:vAlign w:val="top"/>
          </w:tcPr>
          <w:p w14:paraId="71AE9940">
            <w:pPr>
              <w:pStyle w:val="8"/>
              <w:rPr>
                <w:color w:val="auto"/>
                <w:highlight w:val="none"/>
              </w:rPr>
            </w:pPr>
            <w:r>
              <w:rPr>
                <w:color w:val="auto"/>
                <w:highlight w:val="none"/>
              </w:rPr>
              <w:t>100.0</w:t>
            </w:r>
          </w:p>
        </w:tc>
        <w:tc>
          <w:tcPr>
            <w:tcW w:w="831" w:type="dxa"/>
            <w:noWrap w:val="0"/>
            <w:vAlign w:val="top"/>
          </w:tcPr>
          <w:p w14:paraId="5DC99F46">
            <w:pPr>
              <w:pStyle w:val="8"/>
              <w:rPr>
                <w:color w:val="auto"/>
                <w:highlight w:val="none"/>
              </w:rPr>
            </w:pPr>
            <w:r>
              <w:rPr>
                <w:color w:val="auto"/>
                <w:highlight w:val="none"/>
              </w:rPr>
              <w:t>建筑业</w:t>
            </w:r>
          </w:p>
        </w:tc>
        <w:tc>
          <w:tcPr>
            <w:tcW w:w="831" w:type="dxa"/>
            <w:noWrap w:val="0"/>
            <w:vAlign w:val="top"/>
          </w:tcPr>
          <w:p w14:paraId="158E049A">
            <w:pPr>
              <w:pStyle w:val="8"/>
              <w:rPr>
                <w:color w:val="auto"/>
                <w:highlight w:val="none"/>
              </w:rPr>
            </w:pPr>
            <w:r>
              <w:rPr>
                <w:color w:val="auto"/>
                <w:highlight w:val="none"/>
              </w:rPr>
              <w:t>详见附表一</w:t>
            </w:r>
          </w:p>
        </w:tc>
      </w:tr>
    </w:tbl>
    <w:p w14:paraId="56CC5333">
      <w:pPr>
        <w:pStyle w:val="8"/>
        <w:rPr>
          <w:color w:val="auto"/>
          <w:highlight w:val="none"/>
        </w:rPr>
      </w:pPr>
      <w:r>
        <w:rPr>
          <w:color w:val="auto"/>
          <w:highlight w:val="none"/>
        </w:rPr>
        <w:t>备注：最终综合总报价=（各产品报价×各项产品权重）的相加值</w:t>
      </w:r>
    </w:p>
    <w:p w14:paraId="3674F21B">
      <w:pPr>
        <w:pStyle w:val="2"/>
        <w:numPr>
          <w:ilvl w:val="0"/>
          <w:numId w:val="0"/>
        </w:numPr>
        <w:bidi w:val="0"/>
        <w:ind w:leftChars="0"/>
        <w:rPr>
          <w:rFonts w:eastAsia="宋体" w:cs="Times New Roman"/>
          <w:b/>
          <w:color w:val="auto"/>
          <w:sz w:val="21"/>
          <w:szCs w:val="21"/>
          <w:highlight w:val="none"/>
        </w:rPr>
      </w:pPr>
      <w:r>
        <w:rPr>
          <w:rFonts w:eastAsia="宋体" w:cs="Times New Roman"/>
          <w:b/>
          <w:color w:val="auto"/>
          <w:sz w:val="21"/>
          <w:szCs w:val="21"/>
          <w:highlight w:val="none"/>
        </w:rPr>
        <w:t>附表一：采购包1:</w:t>
      </w:r>
    </w:p>
    <w:tbl>
      <w:tblPr>
        <w:tblStyle w:val="6"/>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844"/>
        <w:gridCol w:w="397"/>
        <w:gridCol w:w="7281"/>
      </w:tblGrid>
      <w:tr w14:paraId="59C9656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44" w:type="dxa"/>
            <w:noWrap w:val="0"/>
            <w:vAlign w:val="top"/>
          </w:tcPr>
          <w:p w14:paraId="74B6BE3B">
            <w:pPr>
              <w:pStyle w:val="8"/>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r>
              <w:rPr>
                <w:color w:val="auto"/>
                <w:sz w:val="21"/>
                <w:szCs w:val="21"/>
                <w:highlight w:val="none"/>
              </w:rPr>
              <w:t>参数性质</w:t>
            </w:r>
          </w:p>
        </w:tc>
        <w:tc>
          <w:tcPr>
            <w:tcW w:w="397" w:type="dxa"/>
            <w:noWrap w:val="0"/>
            <w:vAlign w:val="top"/>
          </w:tcPr>
          <w:p w14:paraId="63738786">
            <w:pPr>
              <w:pStyle w:val="8"/>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r>
              <w:rPr>
                <w:color w:val="auto"/>
                <w:sz w:val="21"/>
                <w:szCs w:val="21"/>
                <w:highlight w:val="none"/>
              </w:rPr>
              <w:t>序号</w:t>
            </w:r>
          </w:p>
        </w:tc>
        <w:tc>
          <w:tcPr>
            <w:tcW w:w="7281" w:type="dxa"/>
            <w:noWrap w:val="0"/>
            <w:vAlign w:val="top"/>
          </w:tcPr>
          <w:p w14:paraId="5EDB164F">
            <w:pPr>
              <w:pStyle w:val="8"/>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r>
              <w:rPr>
                <w:color w:val="auto"/>
                <w:sz w:val="21"/>
                <w:szCs w:val="21"/>
                <w:highlight w:val="none"/>
              </w:rPr>
              <w:t>具体技术(参数)要求</w:t>
            </w:r>
          </w:p>
        </w:tc>
      </w:tr>
      <w:tr w14:paraId="08BD9E6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44" w:type="dxa"/>
            <w:noWrap w:val="0"/>
            <w:vAlign w:val="top"/>
          </w:tcPr>
          <w:p w14:paraId="36DF21AE">
            <w:pPr>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p>
        </w:tc>
        <w:tc>
          <w:tcPr>
            <w:tcW w:w="397" w:type="dxa"/>
            <w:noWrap w:val="0"/>
            <w:vAlign w:val="top"/>
          </w:tcPr>
          <w:p w14:paraId="574A8750">
            <w:pPr>
              <w:pStyle w:val="8"/>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r>
              <w:rPr>
                <w:color w:val="auto"/>
                <w:sz w:val="21"/>
                <w:szCs w:val="21"/>
                <w:highlight w:val="none"/>
              </w:rPr>
              <w:t>1</w:t>
            </w:r>
          </w:p>
        </w:tc>
        <w:tc>
          <w:tcPr>
            <w:tcW w:w="7281" w:type="dxa"/>
            <w:noWrap w:val="0"/>
            <w:vAlign w:val="top"/>
          </w:tcPr>
          <w:p w14:paraId="10037F2D">
            <w:pPr>
              <w:pStyle w:val="8"/>
              <w:keepNext w:val="0"/>
              <w:keepLines w:val="0"/>
              <w:pageBreakBefore w:val="0"/>
              <w:kinsoku/>
              <w:wordWrap/>
              <w:overflowPunct/>
              <w:topLinePunct w:val="0"/>
              <w:autoSpaceDE/>
              <w:autoSpaceDN/>
              <w:bidi w:val="0"/>
              <w:adjustRightInd/>
              <w:snapToGrid/>
              <w:spacing w:line="288" w:lineRule="auto"/>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详见采购需求内容。</w:t>
            </w:r>
          </w:p>
        </w:tc>
      </w:tr>
      <w:tr w14:paraId="2C5BDD1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44" w:type="dxa"/>
            <w:noWrap w:val="0"/>
            <w:vAlign w:val="top"/>
          </w:tcPr>
          <w:p w14:paraId="638ED16C">
            <w:pPr>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r>
              <w:rPr>
                <w:color w:val="auto"/>
                <w:sz w:val="21"/>
                <w:szCs w:val="21"/>
                <w:highlight w:val="none"/>
              </w:rPr>
              <w:t>★</w:t>
            </w:r>
          </w:p>
        </w:tc>
        <w:tc>
          <w:tcPr>
            <w:tcW w:w="397" w:type="dxa"/>
            <w:noWrap w:val="0"/>
            <w:vAlign w:val="top"/>
          </w:tcPr>
          <w:p w14:paraId="7474EDA2">
            <w:pPr>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r>
              <w:rPr>
                <w:color w:val="auto"/>
                <w:sz w:val="21"/>
                <w:szCs w:val="21"/>
                <w:highlight w:val="none"/>
              </w:rPr>
              <w:t>2</w:t>
            </w:r>
          </w:p>
        </w:tc>
        <w:tc>
          <w:tcPr>
            <w:tcW w:w="7281" w:type="dxa"/>
            <w:noWrap w:val="0"/>
            <w:vAlign w:val="top"/>
          </w:tcPr>
          <w:p w14:paraId="00BE770D">
            <w:pPr>
              <w:keepNext w:val="0"/>
              <w:keepLines w:val="0"/>
              <w:pageBreakBefore w:val="0"/>
              <w:kinsoku/>
              <w:wordWrap/>
              <w:overflowPunct/>
              <w:topLinePunct w:val="0"/>
              <w:autoSpaceDE/>
              <w:autoSpaceDN/>
              <w:bidi w:val="0"/>
              <w:adjustRightInd/>
              <w:snapToGrid/>
              <w:spacing w:line="288" w:lineRule="auto"/>
              <w:ind w:firstLine="420"/>
              <w:jc w:val="both"/>
              <w:textAlignment w:val="auto"/>
              <w:rPr>
                <w:color w:val="auto"/>
                <w:sz w:val="21"/>
                <w:szCs w:val="21"/>
                <w:highlight w:val="none"/>
              </w:rPr>
            </w:pPr>
            <w:r>
              <w:rPr>
                <w:color w:val="auto"/>
                <w:sz w:val="21"/>
                <w:szCs w:val="21"/>
                <w:highlight w:val="none"/>
              </w:rPr>
              <w:t>拟派</w:t>
            </w:r>
            <w:r>
              <w:rPr>
                <w:rFonts w:hint="eastAsia"/>
                <w:color w:val="auto"/>
                <w:sz w:val="21"/>
                <w:szCs w:val="21"/>
                <w:highlight w:val="none"/>
              </w:rPr>
              <w:t>项目负责人</w:t>
            </w:r>
            <w:r>
              <w:rPr>
                <w:color w:val="auto"/>
                <w:sz w:val="21"/>
                <w:szCs w:val="21"/>
                <w:highlight w:val="none"/>
              </w:rPr>
              <w:t>要求：专业为市政公用工程专业二级</w:t>
            </w:r>
            <w:r>
              <w:rPr>
                <w:rFonts w:hint="eastAsia"/>
                <w:color w:val="auto"/>
                <w:sz w:val="21"/>
                <w:szCs w:val="21"/>
                <w:highlight w:val="none"/>
                <w:lang w:val="en-US" w:eastAsia="zh-CN"/>
              </w:rPr>
              <w:t>或</w:t>
            </w:r>
            <w:r>
              <w:rPr>
                <w:color w:val="auto"/>
                <w:sz w:val="21"/>
                <w:szCs w:val="21"/>
                <w:highlight w:val="none"/>
              </w:rPr>
              <w:t>以上注册建造师，并具有有效的安全生产考核合格证（B类）。</w:t>
            </w:r>
          </w:p>
          <w:p w14:paraId="158F9E48">
            <w:pPr>
              <w:keepNext w:val="0"/>
              <w:keepLines w:val="0"/>
              <w:pageBreakBefore w:val="0"/>
              <w:kinsoku/>
              <w:wordWrap/>
              <w:overflowPunct/>
              <w:topLinePunct w:val="0"/>
              <w:autoSpaceDE/>
              <w:autoSpaceDN/>
              <w:bidi w:val="0"/>
              <w:adjustRightInd/>
              <w:snapToGrid/>
              <w:spacing w:line="288" w:lineRule="auto"/>
              <w:ind w:firstLine="420"/>
              <w:jc w:val="both"/>
              <w:textAlignment w:val="auto"/>
              <w:rPr>
                <w:rFonts w:hint="eastAsia"/>
                <w:color w:val="auto"/>
                <w:sz w:val="21"/>
                <w:szCs w:val="21"/>
                <w:highlight w:val="none"/>
                <w:lang w:val="en-US" w:eastAsia="zh-CN"/>
              </w:rPr>
            </w:pPr>
            <w:r>
              <w:rPr>
                <w:color w:val="auto"/>
                <w:sz w:val="21"/>
                <w:szCs w:val="21"/>
                <w:highlight w:val="none"/>
              </w:rPr>
              <w:t>注：①提供人员证书复印件；②关于上述人员用工形式的证明（供应满足以下任意一项即可）：a）提供供应商为其购买的至响应文件截止时间为止近半年内任意1个月的社保证明复印件（代缴个税税单或参加社会保险的《投保单》或《社会保险参保人员证明》等证明均可）；b）提供人员承诺书，承诺成交后投入符合要求的人员（承诺内容如下：承诺成交后投入符合要求的人员，若在项目实施过程中未能提供相应人员，采购人有权扣罚合同金额10000元/人或终止合同）。</w:t>
            </w:r>
          </w:p>
        </w:tc>
      </w:tr>
      <w:tr w14:paraId="6D48CD4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44" w:type="dxa"/>
            <w:noWrap w:val="0"/>
            <w:vAlign w:val="top"/>
          </w:tcPr>
          <w:p w14:paraId="345C90D6">
            <w:pPr>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r>
              <w:rPr>
                <w:color w:val="auto"/>
                <w:sz w:val="21"/>
                <w:szCs w:val="21"/>
                <w:highlight w:val="none"/>
              </w:rPr>
              <w:t>★</w:t>
            </w:r>
          </w:p>
        </w:tc>
        <w:tc>
          <w:tcPr>
            <w:tcW w:w="397" w:type="dxa"/>
            <w:noWrap w:val="0"/>
            <w:vAlign w:val="top"/>
          </w:tcPr>
          <w:p w14:paraId="3721D8C4">
            <w:pPr>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p>
        </w:tc>
        <w:tc>
          <w:tcPr>
            <w:tcW w:w="7281" w:type="dxa"/>
            <w:noWrap w:val="0"/>
            <w:vAlign w:val="top"/>
          </w:tcPr>
          <w:p w14:paraId="56DDA767">
            <w:pPr>
              <w:keepNext w:val="0"/>
              <w:keepLines w:val="0"/>
              <w:pageBreakBefore w:val="0"/>
              <w:kinsoku/>
              <w:wordWrap/>
              <w:overflowPunct/>
              <w:topLinePunct w:val="0"/>
              <w:autoSpaceDE/>
              <w:autoSpaceDN/>
              <w:bidi w:val="0"/>
              <w:adjustRightInd/>
              <w:snapToGrid/>
              <w:spacing w:line="288" w:lineRule="auto"/>
              <w:ind w:firstLine="420"/>
              <w:jc w:val="both"/>
              <w:textAlignment w:val="auto"/>
              <w:rPr>
                <w:color w:val="auto"/>
                <w:sz w:val="21"/>
                <w:szCs w:val="21"/>
                <w:highlight w:val="none"/>
              </w:rPr>
            </w:pPr>
            <w:r>
              <w:rPr>
                <w:color w:val="auto"/>
                <w:sz w:val="21"/>
                <w:szCs w:val="21"/>
                <w:highlight w:val="none"/>
              </w:rPr>
              <w:t>拟派</w:t>
            </w:r>
            <w:r>
              <w:rPr>
                <w:rFonts w:hint="eastAsia"/>
                <w:color w:val="auto"/>
                <w:sz w:val="21"/>
                <w:szCs w:val="21"/>
                <w:highlight w:val="none"/>
                <w:lang w:val="en-US" w:eastAsia="zh-CN"/>
              </w:rPr>
              <w:t>技术负责人</w:t>
            </w:r>
            <w:r>
              <w:rPr>
                <w:color w:val="auto"/>
                <w:sz w:val="21"/>
                <w:szCs w:val="21"/>
                <w:highlight w:val="none"/>
              </w:rPr>
              <w:t>要求：专业为</w:t>
            </w:r>
            <w:r>
              <w:rPr>
                <w:rFonts w:hint="eastAsia"/>
                <w:color w:val="auto"/>
                <w:sz w:val="21"/>
                <w:szCs w:val="21"/>
                <w:highlight w:val="none"/>
                <w:lang w:val="en-US" w:eastAsia="zh-CN"/>
              </w:rPr>
              <w:t>市政类中级工程师或以上职称</w:t>
            </w:r>
            <w:r>
              <w:rPr>
                <w:color w:val="auto"/>
                <w:sz w:val="21"/>
                <w:szCs w:val="21"/>
                <w:highlight w:val="none"/>
              </w:rPr>
              <w:t>。</w:t>
            </w:r>
          </w:p>
          <w:p w14:paraId="131B73DB">
            <w:pPr>
              <w:keepNext w:val="0"/>
              <w:keepLines w:val="0"/>
              <w:pageBreakBefore w:val="0"/>
              <w:kinsoku/>
              <w:wordWrap/>
              <w:overflowPunct/>
              <w:topLinePunct w:val="0"/>
              <w:autoSpaceDE/>
              <w:autoSpaceDN/>
              <w:bidi w:val="0"/>
              <w:adjustRightInd/>
              <w:snapToGrid/>
              <w:spacing w:line="288" w:lineRule="auto"/>
              <w:ind w:firstLine="420"/>
              <w:jc w:val="both"/>
              <w:textAlignment w:val="auto"/>
              <w:rPr>
                <w:color w:val="auto"/>
                <w:sz w:val="21"/>
                <w:szCs w:val="21"/>
                <w:highlight w:val="none"/>
              </w:rPr>
            </w:pPr>
            <w:r>
              <w:rPr>
                <w:color w:val="auto"/>
                <w:sz w:val="21"/>
                <w:szCs w:val="21"/>
                <w:highlight w:val="none"/>
              </w:rPr>
              <w:t>注：①提供人员证书复印件；②关于上述人员用工形式的证明（供应满足以下任意一项即可）：a）提供供应商为其购买的至响应文件截止时间为止近半年内任意1个月的社保证明复印件（代缴个税税单或参加社会保险的《投保单》或《社会保险参保人员证明》等证明均可）；b）提供人员承诺书，承诺成交后投入符合要求的人员（承诺内容如下：承诺成交后投入符合要求的人员，若在项目实施过程中未能提供相应人员，采购人有权扣罚合同金额10000元/人或终止合同）。</w:t>
            </w:r>
          </w:p>
        </w:tc>
      </w:tr>
      <w:tr w14:paraId="653521B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44" w:type="dxa"/>
            <w:noWrap w:val="0"/>
            <w:vAlign w:val="top"/>
          </w:tcPr>
          <w:p w14:paraId="026F1EA3">
            <w:pPr>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r>
              <w:rPr>
                <w:color w:val="auto"/>
                <w:sz w:val="21"/>
                <w:szCs w:val="21"/>
                <w:highlight w:val="none"/>
              </w:rPr>
              <w:t>★</w:t>
            </w:r>
          </w:p>
        </w:tc>
        <w:tc>
          <w:tcPr>
            <w:tcW w:w="397" w:type="dxa"/>
            <w:noWrap w:val="0"/>
            <w:vAlign w:val="top"/>
          </w:tcPr>
          <w:p w14:paraId="00D38814">
            <w:pPr>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r>
              <w:rPr>
                <w:color w:val="auto"/>
                <w:sz w:val="21"/>
                <w:szCs w:val="21"/>
                <w:highlight w:val="none"/>
              </w:rPr>
              <w:t>3</w:t>
            </w:r>
          </w:p>
        </w:tc>
        <w:tc>
          <w:tcPr>
            <w:tcW w:w="7281" w:type="dxa"/>
            <w:noWrap w:val="0"/>
            <w:vAlign w:val="top"/>
          </w:tcPr>
          <w:p w14:paraId="03FB7B63">
            <w:pPr>
              <w:keepNext w:val="0"/>
              <w:keepLines w:val="0"/>
              <w:pageBreakBefore w:val="0"/>
              <w:kinsoku/>
              <w:wordWrap/>
              <w:overflowPunct/>
              <w:topLinePunct w:val="0"/>
              <w:autoSpaceDE/>
              <w:autoSpaceDN/>
              <w:bidi w:val="0"/>
              <w:adjustRightInd/>
              <w:snapToGrid/>
              <w:spacing w:line="288" w:lineRule="auto"/>
              <w:ind w:firstLine="560" w:firstLineChars="0"/>
              <w:jc w:val="left"/>
              <w:textAlignment w:val="auto"/>
              <w:rPr>
                <w:color w:val="auto"/>
                <w:sz w:val="21"/>
                <w:szCs w:val="21"/>
                <w:highlight w:val="none"/>
              </w:rPr>
            </w:pPr>
            <w:r>
              <w:rPr>
                <w:color w:val="auto"/>
                <w:sz w:val="21"/>
                <w:szCs w:val="21"/>
                <w:highlight w:val="none"/>
              </w:rPr>
              <w:t>拟派的安全员要求：具备安全生产考核合格证书（C类）。</w:t>
            </w:r>
          </w:p>
          <w:p w14:paraId="769EBB9A">
            <w:pPr>
              <w:keepNext w:val="0"/>
              <w:keepLines w:val="0"/>
              <w:pageBreakBefore w:val="0"/>
              <w:kinsoku/>
              <w:wordWrap/>
              <w:overflowPunct/>
              <w:topLinePunct w:val="0"/>
              <w:autoSpaceDE/>
              <w:autoSpaceDN/>
              <w:bidi w:val="0"/>
              <w:adjustRightInd/>
              <w:snapToGrid/>
              <w:spacing w:line="288" w:lineRule="auto"/>
              <w:ind w:firstLine="560" w:firstLineChars="0"/>
              <w:jc w:val="left"/>
              <w:textAlignment w:val="auto"/>
              <w:rPr>
                <w:rFonts w:hint="eastAsia"/>
                <w:color w:val="auto"/>
                <w:sz w:val="21"/>
                <w:szCs w:val="21"/>
                <w:highlight w:val="none"/>
                <w:lang w:val="en-US" w:eastAsia="zh-CN"/>
              </w:rPr>
            </w:pPr>
            <w:r>
              <w:rPr>
                <w:color w:val="auto"/>
                <w:sz w:val="21"/>
                <w:szCs w:val="21"/>
                <w:highlight w:val="none"/>
              </w:rPr>
              <w:t>注：①提供人员证书复印件；②关于上述人员用工形式的证明（供应满足以下任意一项即可）：a）提供供应商为其购买的至响应文件截止时间为止近半年内任意1个月的社保证明复印件（代缴个税税单或参加社会保险的《投保单》或《社会保险参保人员证明》等证明均可）；b）提供人员承诺书，承诺成交后投入符合要求的人员（承诺内容如下：承诺成交后投入符合要求的人员，若在项目实施过程中未能提供相应人员，采购人有权扣罚合同金额10000元/人或终止合同）。</w:t>
            </w:r>
          </w:p>
        </w:tc>
      </w:tr>
      <w:tr w14:paraId="39E6EF3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44" w:type="dxa"/>
            <w:noWrap w:val="0"/>
            <w:vAlign w:val="top"/>
          </w:tcPr>
          <w:p w14:paraId="1BCFDE22">
            <w:pPr>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p>
        </w:tc>
        <w:tc>
          <w:tcPr>
            <w:tcW w:w="397" w:type="dxa"/>
            <w:noWrap w:val="0"/>
            <w:vAlign w:val="top"/>
          </w:tcPr>
          <w:p w14:paraId="3750CC80">
            <w:pPr>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p>
        </w:tc>
        <w:tc>
          <w:tcPr>
            <w:tcW w:w="7281" w:type="dxa"/>
            <w:noWrap w:val="0"/>
            <w:vAlign w:val="top"/>
          </w:tcPr>
          <w:p w14:paraId="63EEDCFE">
            <w:pPr>
              <w:keepNext w:val="0"/>
              <w:keepLines w:val="0"/>
              <w:pageBreakBefore w:val="0"/>
              <w:kinsoku/>
              <w:wordWrap/>
              <w:overflowPunct/>
              <w:topLinePunct w:val="0"/>
              <w:autoSpaceDE/>
              <w:autoSpaceDN/>
              <w:bidi w:val="0"/>
              <w:adjustRightInd/>
              <w:snapToGrid/>
              <w:spacing w:line="288"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注：上述</w:t>
            </w:r>
            <w:r>
              <w:rPr>
                <w:rFonts w:hint="eastAsia"/>
                <w:color w:val="auto"/>
                <w:sz w:val="21"/>
                <w:szCs w:val="21"/>
                <w:highlight w:val="none"/>
              </w:rPr>
              <w:t>项目负责人</w:t>
            </w:r>
            <w:r>
              <w:rPr>
                <w:rFonts w:hint="eastAsia"/>
                <w:color w:val="auto"/>
                <w:sz w:val="21"/>
                <w:szCs w:val="21"/>
                <w:highlight w:val="none"/>
                <w:lang w:eastAsia="zh-CN"/>
              </w:rPr>
              <w:t>、</w:t>
            </w:r>
            <w:r>
              <w:rPr>
                <w:rFonts w:hint="eastAsia"/>
                <w:color w:val="auto"/>
                <w:sz w:val="21"/>
                <w:szCs w:val="21"/>
                <w:highlight w:val="none"/>
                <w:lang w:val="en-US" w:eastAsia="zh-CN"/>
              </w:rPr>
              <w:t>技术负责人和</w:t>
            </w:r>
            <w:r>
              <w:rPr>
                <w:color w:val="auto"/>
                <w:sz w:val="21"/>
                <w:szCs w:val="21"/>
                <w:highlight w:val="none"/>
              </w:rPr>
              <w:t>安全员</w:t>
            </w:r>
            <w:r>
              <w:rPr>
                <w:rFonts w:hint="eastAsia"/>
                <w:color w:val="auto"/>
                <w:sz w:val="21"/>
                <w:szCs w:val="21"/>
                <w:highlight w:val="none"/>
                <w:lang w:val="en-US" w:eastAsia="zh-CN"/>
              </w:rPr>
              <w:t>不得为同一人。</w:t>
            </w:r>
          </w:p>
        </w:tc>
      </w:tr>
      <w:tr w14:paraId="70D94D4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44" w:type="dxa"/>
            <w:noWrap w:val="0"/>
            <w:vAlign w:val="top"/>
          </w:tcPr>
          <w:p w14:paraId="5442CF94">
            <w:pPr>
              <w:pStyle w:val="8"/>
              <w:keepNext w:val="0"/>
              <w:keepLines w:val="0"/>
              <w:pageBreakBefore w:val="0"/>
              <w:kinsoku/>
              <w:wordWrap/>
              <w:overflowPunct/>
              <w:topLinePunct w:val="0"/>
              <w:autoSpaceDE/>
              <w:autoSpaceDN/>
              <w:bidi w:val="0"/>
              <w:adjustRightInd/>
              <w:snapToGrid/>
              <w:spacing w:line="288" w:lineRule="auto"/>
              <w:textAlignment w:val="auto"/>
              <w:rPr>
                <w:color w:val="auto"/>
                <w:sz w:val="21"/>
                <w:szCs w:val="21"/>
                <w:highlight w:val="none"/>
              </w:rPr>
            </w:pPr>
            <w:r>
              <w:rPr>
                <w:color w:val="auto"/>
                <w:sz w:val="21"/>
                <w:szCs w:val="21"/>
                <w:highlight w:val="none"/>
              </w:rPr>
              <w:t>说明</w:t>
            </w:r>
          </w:p>
        </w:tc>
        <w:tc>
          <w:tcPr>
            <w:tcW w:w="7678" w:type="dxa"/>
            <w:gridSpan w:val="2"/>
            <w:noWrap w:val="0"/>
            <w:vAlign w:val="top"/>
          </w:tcPr>
          <w:p w14:paraId="6F176BCA">
            <w:pPr>
              <w:pStyle w:val="8"/>
              <w:keepNext w:val="0"/>
              <w:keepLines w:val="0"/>
              <w:pageBreakBefore w:val="0"/>
              <w:kinsoku/>
              <w:wordWrap/>
              <w:overflowPunct/>
              <w:topLinePunct w:val="0"/>
              <w:autoSpaceDE/>
              <w:autoSpaceDN/>
              <w:bidi w:val="0"/>
              <w:adjustRightInd/>
              <w:snapToGrid/>
              <w:spacing w:line="288" w:lineRule="auto"/>
              <w:textAlignment w:val="auto"/>
              <w:rPr>
                <w:b/>
                <w:color w:val="auto"/>
                <w:sz w:val="21"/>
                <w:szCs w:val="21"/>
                <w:highlight w:val="none"/>
              </w:rPr>
            </w:pPr>
            <w:r>
              <w:rPr>
                <w:color w:val="auto"/>
                <w:sz w:val="21"/>
                <w:szCs w:val="21"/>
                <w:highlight w:val="none"/>
              </w:rPr>
              <w:t xml:space="preserve"> 打“★”号条款为实质性条款，若有任何一条负偏离或不满足则导致投标无效。 </w:t>
            </w:r>
            <w:r>
              <w:rPr>
                <w:color w:val="auto"/>
                <w:sz w:val="21"/>
                <w:szCs w:val="21"/>
                <w:highlight w:val="none"/>
              </w:rPr>
              <w:br w:type="textWrapping"/>
            </w:r>
            <w:r>
              <w:rPr>
                <w:color w:val="auto"/>
                <w:sz w:val="21"/>
                <w:szCs w:val="21"/>
                <w:highlight w:val="none"/>
              </w:rPr>
              <w:t>打“▲”号条款为重要技术参数，若有部分“▲”条款未响应或不满足，不作为无效投标条款。</w:t>
            </w:r>
          </w:p>
        </w:tc>
      </w:tr>
    </w:tbl>
    <w:p w14:paraId="72C22589">
      <w:pPr>
        <w:rPr>
          <w:rFonts w:hint="eastAsia" w:ascii="宋体" w:hAnsi="宋体" w:eastAsia="宋体" w:cs="宋体"/>
          <w:color w:val="auto"/>
          <w:highlight w:val="none"/>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4FD1F">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509EDD">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5509EDD">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360A4">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711A7D"/>
    <w:multiLevelType w:val="singleLevel"/>
    <w:tmpl w:val="93711A7D"/>
    <w:lvl w:ilvl="0" w:tentative="0">
      <w:start w:val="1"/>
      <w:numFmt w:val="decimal"/>
      <w:suff w:val="nothing"/>
      <w:lvlText w:val="%1．"/>
      <w:lvlJc w:val="left"/>
      <w:pPr>
        <w:ind w:left="0" w:firstLine="400"/>
      </w:pPr>
      <w:rPr>
        <w:rFonts w:hint="default"/>
      </w:rPr>
    </w:lvl>
  </w:abstractNum>
  <w:abstractNum w:abstractNumId="1">
    <w:nsid w:val="A177534A"/>
    <w:multiLevelType w:val="singleLevel"/>
    <w:tmpl w:val="A177534A"/>
    <w:lvl w:ilvl="0" w:tentative="0">
      <w:start w:val="1"/>
      <w:numFmt w:val="decimal"/>
      <w:lvlText w:val="%1."/>
      <w:lvlJc w:val="left"/>
      <w:pPr>
        <w:tabs>
          <w:tab w:val="left" w:pos="312"/>
        </w:tabs>
      </w:pPr>
    </w:lvl>
  </w:abstractNum>
  <w:abstractNum w:abstractNumId="2">
    <w:nsid w:val="A9735D0F"/>
    <w:multiLevelType w:val="singleLevel"/>
    <w:tmpl w:val="A9735D0F"/>
    <w:lvl w:ilvl="0" w:tentative="0">
      <w:start w:val="1"/>
      <w:numFmt w:val="decimal"/>
      <w:suff w:val="nothing"/>
      <w:lvlText w:val="%1．"/>
      <w:lvlJc w:val="left"/>
      <w:pPr>
        <w:ind w:left="0" w:firstLine="400"/>
      </w:pPr>
      <w:rPr>
        <w:rFonts w:hint="default"/>
      </w:rPr>
    </w:lvl>
  </w:abstractNum>
  <w:abstractNum w:abstractNumId="3">
    <w:nsid w:val="B3650015"/>
    <w:multiLevelType w:val="singleLevel"/>
    <w:tmpl w:val="B3650015"/>
    <w:lvl w:ilvl="0" w:tentative="0">
      <w:start w:val="1"/>
      <w:numFmt w:val="decimal"/>
      <w:suff w:val="nothing"/>
      <w:lvlText w:val="%1．"/>
      <w:lvlJc w:val="left"/>
      <w:pPr>
        <w:ind w:left="0" w:firstLine="400"/>
      </w:pPr>
      <w:rPr>
        <w:rFonts w:hint="default"/>
      </w:rPr>
    </w:lvl>
  </w:abstractNum>
  <w:abstractNum w:abstractNumId="4">
    <w:nsid w:val="BE385779"/>
    <w:multiLevelType w:val="singleLevel"/>
    <w:tmpl w:val="BE385779"/>
    <w:lvl w:ilvl="0" w:tentative="0">
      <w:start w:val="1"/>
      <w:numFmt w:val="decimal"/>
      <w:suff w:val="nothing"/>
      <w:lvlText w:val="（%1）"/>
      <w:lvlJc w:val="left"/>
    </w:lvl>
  </w:abstractNum>
  <w:abstractNum w:abstractNumId="5">
    <w:nsid w:val="E2944DF0"/>
    <w:multiLevelType w:val="singleLevel"/>
    <w:tmpl w:val="E2944DF0"/>
    <w:lvl w:ilvl="0" w:tentative="0">
      <w:start w:val="1"/>
      <w:numFmt w:val="decimal"/>
      <w:suff w:val="nothing"/>
      <w:lvlText w:val="%1．"/>
      <w:lvlJc w:val="left"/>
      <w:pPr>
        <w:ind w:left="0" w:firstLine="400"/>
      </w:pPr>
      <w:rPr>
        <w:rFonts w:hint="default"/>
      </w:rPr>
    </w:lvl>
  </w:abstractNum>
  <w:abstractNum w:abstractNumId="6">
    <w:nsid w:val="E445B5CA"/>
    <w:multiLevelType w:val="singleLevel"/>
    <w:tmpl w:val="E445B5CA"/>
    <w:lvl w:ilvl="0" w:tentative="0">
      <w:start w:val="1"/>
      <w:numFmt w:val="decimal"/>
      <w:lvlText w:val="(%1)"/>
      <w:lvlJc w:val="left"/>
      <w:pPr>
        <w:ind w:left="425" w:hanging="425"/>
      </w:pPr>
      <w:rPr>
        <w:rFonts w:hint="default"/>
      </w:rPr>
    </w:lvl>
  </w:abstractNum>
  <w:abstractNum w:abstractNumId="7">
    <w:nsid w:val="EC4FC16E"/>
    <w:multiLevelType w:val="singleLevel"/>
    <w:tmpl w:val="EC4FC16E"/>
    <w:lvl w:ilvl="0" w:tentative="0">
      <w:start w:val="1"/>
      <w:numFmt w:val="decimal"/>
      <w:suff w:val="nothing"/>
      <w:lvlText w:val="%1．"/>
      <w:lvlJc w:val="left"/>
      <w:pPr>
        <w:ind w:left="0" w:firstLine="400"/>
      </w:pPr>
      <w:rPr>
        <w:rFonts w:hint="default"/>
      </w:rPr>
    </w:lvl>
  </w:abstractNum>
  <w:abstractNum w:abstractNumId="8">
    <w:nsid w:val="F4A27518"/>
    <w:multiLevelType w:val="singleLevel"/>
    <w:tmpl w:val="F4A27518"/>
    <w:lvl w:ilvl="0" w:tentative="0">
      <w:start w:val="1"/>
      <w:numFmt w:val="decimal"/>
      <w:suff w:val="nothing"/>
      <w:lvlText w:val="%1．"/>
      <w:lvlJc w:val="left"/>
      <w:pPr>
        <w:ind w:left="0" w:firstLine="400"/>
      </w:pPr>
      <w:rPr>
        <w:rFonts w:hint="default"/>
      </w:rPr>
    </w:lvl>
  </w:abstractNum>
  <w:abstractNum w:abstractNumId="9">
    <w:nsid w:val="FD88FDBF"/>
    <w:multiLevelType w:val="singleLevel"/>
    <w:tmpl w:val="FD88FDBF"/>
    <w:lvl w:ilvl="0" w:tentative="0">
      <w:start w:val="1"/>
      <w:numFmt w:val="decimal"/>
      <w:suff w:val="nothing"/>
      <w:lvlText w:val="%1．"/>
      <w:lvlJc w:val="left"/>
      <w:pPr>
        <w:ind w:left="0" w:firstLine="400"/>
      </w:pPr>
      <w:rPr>
        <w:rFonts w:hint="default"/>
      </w:rPr>
    </w:lvl>
  </w:abstractNum>
  <w:abstractNum w:abstractNumId="10">
    <w:nsid w:val="1212D955"/>
    <w:multiLevelType w:val="singleLevel"/>
    <w:tmpl w:val="1212D955"/>
    <w:lvl w:ilvl="0" w:tentative="0">
      <w:start w:val="1"/>
      <w:numFmt w:val="chineseCounting"/>
      <w:suff w:val="nothing"/>
      <w:lvlText w:val="%1、"/>
      <w:lvlJc w:val="left"/>
      <w:pPr>
        <w:ind w:left="-420" w:firstLine="420"/>
      </w:pPr>
      <w:rPr>
        <w:rFonts w:hint="eastAsia"/>
        <w:b/>
        <w:bCs/>
        <w:sz w:val="24"/>
        <w:szCs w:val="24"/>
      </w:rPr>
    </w:lvl>
  </w:abstractNum>
  <w:abstractNum w:abstractNumId="11">
    <w:nsid w:val="2B7594F0"/>
    <w:multiLevelType w:val="singleLevel"/>
    <w:tmpl w:val="2B7594F0"/>
    <w:lvl w:ilvl="0" w:tentative="0">
      <w:start w:val="1"/>
      <w:numFmt w:val="decimal"/>
      <w:suff w:val="nothing"/>
      <w:lvlText w:val="%1．"/>
      <w:lvlJc w:val="left"/>
      <w:pPr>
        <w:ind w:left="0" w:firstLine="400"/>
      </w:pPr>
      <w:rPr>
        <w:rFonts w:hint="default"/>
      </w:rPr>
    </w:lvl>
  </w:abstractNum>
  <w:abstractNum w:abstractNumId="12">
    <w:nsid w:val="358AFC80"/>
    <w:multiLevelType w:val="singleLevel"/>
    <w:tmpl w:val="358AFC80"/>
    <w:lvl w:ilvl="0" w:tentative="0">
      <w:start w:val="1"/>
      <w:numFmt w:val="decimal"/>
      <w:suff w:val="nothing"/>
      <w:lvlText w:val="%1．"/>
      <w:lvlJc w:val="left"/>
      <w:pPr>
        <w:ind w:left="0" w:firstLine="400"/>
      </w:pPr>
      <w:rPr>
        <w:rFonts w:hint="default"/>
      </w:rPr>
    </w:lvl>
  </w:abstractNum>
  <w:abstractNum w:abstractNumId="13">
    <w:nsid w:val="4B51EDD1"/>
    <w:multiLevelType w:val="singleLevel"/>
    <w:tmpl w:val="4B51EDD1"/>
    <w:lvl w:ilvl="0" w:tentative="0">
      <w:start w:val="1"/>
      <w:numFmt w:val="decimal"/>
      <w:suff w:val="nothing"/>
      <w:lvlText w:val="%1．"/>
      <w:lvlJc w:val="left"/>
      <w:pPr>
        <w:ind w:left="0" w:firstLine="400"/>
      </w:pPr>
      <w:rPr>
        <w:rFonts w:hint="default"/>
      </w:rPr>
    </w:lvl>
  </w:abstractNum>
  <w:abstractNum w:abstractNumId="14">
    <w:nsid w:val="55DB2918"/>
    <w:multiLevelType w:val="singleLevel"/>
    <w:tmpl w:val="55DB2918"/>
    <w:lvl w:ilvl="0" w:tentative="0">
      <w:start w:val="1"/>
      <w:numFmt w:val="decimal"/>
      <w:suff w:val="nothing"/>
      <w:lvlText w:val="%1．"/>
      <w:lvlJc w:val="left"/>
      <w:pPr>
        <w:ind w:left="0" w:firstLine="400"/>
      </w:pPr>
      <w:rPr>
        <w:rFonts w:hint="default"/>
      </w:rPr>
    </w:lvl>
  </w:abstractNum>
  <w:abstractNum w:abstractNumId="15">
    <w:nsid w:val="5F764FE1"/>
    <w:multiLevelType w:val="singleLevel"/>
    <w:tmpl w:val="5F764FE1"/>
    <w:lvl w:ilvl="0" w:tentative="0">
      <w:start w:val="1"/>
      <w:numFmt w:val="decimal"/>
      <w:lvlText w:val="(%1)"/>
      <w:lvlJc w:val="left"/>
      <w:pPr>
        <w:ind w:left="425" w:hanging="425"/>
      </w:pPr>
      <w:rPr>
        <w:rFonts w:hint="default"/>
      </w:rPr>
    </w:lvl>
  </w:abstractNum>
  <w:num w:numId="1">
    <w:abstractNumId w:val="10"/>
  </w:num>
  <w:num w:numId="2">
    <w:abstractNumId w:val="13"/>
  </w:num>
  <w:num w:numId="3">
    <w:abstractNumId w:val="5"/>
  </w:num>
  <w:num w:numId="4">
    <w:abstractNumId w:val="7"/>
  </w:num>
  <w:num w:numId="5">
    <w:abstractNumId w:val="4"/>
  </w:num>
  <w:num w:numId="6">
    <w:abstractNumId w:val="8"/>
  </w:num>
  <w:num w:numId="7">
    <w:abstractNumId w:val="14"/>
  </w:num>
  <w:num w:numId="8">
    <w:abstractNumId w:val="15"/>
  </w:num>
  <w:num w:numId="9">
    <w:abstractNumId w:val="6"/>
  </w:num>
  <w:num w:numId="10">
    <w:abstractNumId w:val="0"/>
  </w:num>
  <w:num w:numId="11">
    <w:abstractNumId w:val="2"/>
  </w:num>
  <w:num w:numId="12">
    <w:abstractNumId w:val="3"/>
  </w:num>
  <w:num w:numId="13">
    <w:abstractNumId w:val="12"/>
  </w:num>
  <w:num w:numId="14">
    <w:abstractNumId w:val="11"/>
  </w:num>
  <w:num w:numId="15">
    <w:abstractNumId w:val="1"/>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260C2E"/>
    <w:rsid w:val="094E7C8D"/>
    <w:rsid w:val="13CF4A5B"/>
    <w:rsid w:val="1C5A57A0"/>
    <w:rsid w:val="23903680"/>
    <w:rsid w:val="45684BA8"/>
    <w:rsid w:val="796310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8">
    <w:name w:val="null3"/>
    <w:qFormat/>
    <w:uiPriority w:val="0"/>
    <w:rPr>
      <w:rFonts w:hint="eastAsia" w:ascii="Calibri" w:hAnsi="Calibri" w:eastAsia="宋体" w:cs="Times New Roman"/>
      <w:lang w:val="en-US" w:eastAsia="zh-Han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2804</Words>
  <Characters>3010</Characters>
  <Lines>0</Lines>
  <Paragraphs>0</Paragraphs>
  <TotalTime>0</TotalTime>
  <ScaleCrop>false</ScaleCrop>
  <LinksUpToDate>false</LinksUpToDate>
  <CharactersWithSpaces>3033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2026-07-03T07:30:00Z</dcterms:created>
  <dc:creator>Administrator</dc:creator>
  <cp:lastModifiedBy>L</cp:lastModifiedBy>
  <dcterms:modified xsi:type="dcterms:W3CDTF">2026-07-03T07:58:43Z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eyJoZGlkIjoiOWZjM2U5NjJhMGQ2YmUzNjZmMTJmMjc2ZjgyZTQxMzIiLCJ1c2VySWQiOiI2Mjk4OTIyNTUifQ==</vt:lpwstr>
  </property>
  <property fmtid="{D5CDD505-2E9C-101B-9397-08002B2CF9AE}" pid="4" name="ICV">
    <vt:lpwstr>C473DC3BB0A7464591B1CDA22CCDAD10_12</vt:lpwstr>
  </property>
</Properties>
</file>